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E72FB" w:rsidRDefault="001A25C8" w:rsidP="001A25C8">
      <w:pPr>
        <w:pStyle w:val="HEAD"/>
        <w:rPr>
          <w:rFonts w:eastAsia="新細明體"/>
        </w:rPr>
      </w:pPr>
      <w:r>
        <w:rPr>
          <w:rFonts w:eastAsia="新細明體" w:hint="eastAsia"/>
        </w:rPr>
        <w:t xml:space="preserve">NATIONAL SUN YAT-SEN UNIVERSITY </w:t>
      </w:r>
    </w:p>
    <w:p w:rsidR="00631A4D" w:rsidRPr="006E72FB" w:rsidRDefault="006E72FB" w:rsidP="001A25C8">
      <w:pPr>
        <w:pStyle w:val="HEAD"/>
        <w:rPr>
          <w:rFonts w:eastAsia="新細明體"/>
        </w:rPr>
      </w:pPr>
      <w:r>
        <w:rPr>
          <w:rFonts w:eastAsia="新細明體" w:hint="eastAsia"/>
        </w:rPr>
        <w:t>College of Marine Science</w:t>
      </w:r>
      <w:r w:rsidR="001102DA">
        <w:rPr>
          <w:rFonts w:eastAsia="新細明體"/>
        </w:rPr>
        <w:t>s</w:t>
      </w:r>
    </w:p>
    <w:p w:rsidR="00A91800" w:rsidRDefault="00A91800" w:rsidP="001A25C8">
      <w:pPr>
        <w:pStyle w:val="HEAD"/>
        <w:rPr>
          <w:rFonts w:eastAsia="新細明體"/>
        </w:rPr>
      </w:pPr>
    </w:p>
    <w:p w:rsidR="00631A4D" w:rsidRPr="00E26C5D" w:rsidRDefault="00EA2758" w:rsidP="00E26C5D">
      <w:pPr>
        <w:pStyle w:val="HEAD"/>
        <w:spacing w:after="240"/>
        <w:rPr>
          <w:rFonts w:eastAsia="新細明體"/>
        </w:rPr>
      </w:pPr>
      <w:r>
        <w:rPr>
          <w:rFonts w:eastAsia="新細明體"/>
        </w:rPr>
        <w:t>Regulation</w:t>
      </w:r>
      <w:r w:rsidR="00DF1595">
        <w:rPr>
          <w:rFonts w:eastAsia="新細明體" w:hint="eastAsia"/>
        </w:rPr>
        <w:t>s</w:t>
      </w:r>
      <w:r w:rsidR="006E72FB">
        <w:t xml:space="preserve"> for</w:t>
      </w:r>
      <w:r w:rsidR="001A25C8">
        <w:t xml:space="preserve"> </w:t>
      </w:r>
      <w:r w:rsidR="004E18F4" w:rsidRPr="004E18F4">
        <w:rPr>
          <w:rFonts w:eastAsia="新細明體"/>
        </w:rPr>
        <w:t>Faculty Promotion Evaluation</w:t>
      </w:r>
    </w:p>
    <w:p w:rsidR="001826C3" w:rsidRDefault="001826C3" w:rsidP="00405721">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hint="eastAsia"/>
          <w:sz w:val="18"/>
          <w:szCs w:val="20"/>
        </w:rPr>
        <w:t xml:space="preserve">Promulgated by </w:t>
      </w:r>
      <w:r>
        <w:rPr>
          <w:rFonts w:ascii="Times New Roman" w:eastAsia="新細明體" w:hAnsi="Times New Roman" w:cs="Times New Roman"/>
          <w:sz w:val="18"/>
          <w:szCs w:val="20"/>
        </w:rPr>
        <w:t>the Office of Personnel Services</w:t>
      </w:r>
      <w:r w:rsidR="00F378E4" w:rsidRPr="00F378E4">
        <w:rPr>
          <w:rFonts w:ascii="Times New Roman" w:eastAsia="新細明體" w:hAnsi="Times New Roman" w:cs="Times New Roman"/>
          <w:sz w:val="18"/>
          <w:szCs w:val="20"/>
        </w:rPr>
        <w:t xml:space="preserve"> </w:t>
      </w:r>
      <w:r w:rsidR="00F378E4">
        <w:rPr>
          <w:rFonts w:ascii="Times New Roman" w:eastAsia="新細明體" w:hAnsi="Times New Roman" w:cs="Times New Roman"/>
          <w:sz w:val="18"/>
          <w:szCs w:val="20"/>
        </w:rPr>
        <w:t xml:space="preserve">No.18 Official Document </w:t>
      </w:r>
      <w:r>
        <w:rPr>
          <w:rFonts w:ascii="Times New Roman" w:eastAsia="新細明體" w:hAnsi="Times New Roman" w:cs="Times New Roman"/>
          <w:sz w:val="18"/>
          <w:szCs w:val="20"/>
        </w:rPr>
        <w:t>on January 22, 1992.</w:t>
      </w:r>
    </w:p>
    <w:p w:rsidR="00DF1595" w:rsidRDefault="002B5992" w:rsidP="001826C3">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hint="eastAsia"/>
          <w:sz w:val="18"/>
          <w:szCs w:val="20"/>
        </w:rPr>
        <w:t>A</w:t>
      </w:r>
      <w:r>
        <w:rPr>
          <w:rFonts w:ascii="Times New Roman" w:eastAsia="新細明體" w:hAnsi="Times New Roman" w:cs="Times New Roman"/>
          <w:sz w:val="18"/>
          <w:szCs w:val="20"/>
        </w:rPr>
        <w:t xml:space="preserve">mended and </w:t>
      </w:r>
      <w:r w:rsidR="00DF1595"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hint="eastAsia"/>
          <w:sz w:val="18"/>
          <w:szCs w:val="20"/>
        </w:rPr>
        <w:t>5</w:t>
      </w:r>
      <w:r>
        <w:rPr>
          <w:rFonts w:ascii="Times New Roman" w:eastAsia="新細明體" w:hAnsi="Times New Roman" w:cs="Times New Roman"/>
          <w:sz w:val="18"/>
          <w:szCs w:val="20"/>
          <w:vertAlign w:val="superscript"/>
        </w:rPr>
        <w:t>th</w:t>
      </w:r>
      <w:r w:rsidR="00462805">
        <w:rPr>
          <w:rFonts w:ascii="Times New Roman" w:eastAsia="新細明體" w:hAnsi="Times New Roman" w:cs="Times New Roman"/>
          <w:sz w:val="18"/>
          <w:szCs w:val="20"/>
        </w:rPr>
        <w:t xml:space="preserve"> </w:t>
      </w:r>
      <w:r w:rsidR="00DF1595" w:rsidRPr="00142A62">
        <w:rPr>
          <w:rFonts w:ascii="Times New Roman" w:eastAsia="新細明體" w:hAnsi="Times New Roman" w:cs="Times New Roman" w:hint="eastAsia"/>
          <w:sz w:val="18"/>
          <w:szCs w:val="20"/>
        </w:rPr>
        <w:t xml:space="preserve">College General Meeting on </w:t>
      </w:r>
      <w:r>
        <w:rPr>
          <w:rFonts w:ascii="Times New Roman" w:eastAsia="新細明體" w:hAnsi="Times New Roman" w:cs="Times New Roman"/>
          <w:sz w:val="18"/>
          <w:szCs w:val="20"/>
        </w:rPr>
        <w:t>June</w:t>
      </w:r>
      <w:r w:rsidR="00DF1595"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18</w:t>
      </w:r>
      <w:r w:rsidR="00DF1595" w:rsidRPr="00142A62">
        <w:rPr>
          <w:rFonts w:ascii="Times New Roman" w:eastAsia="新細明體" w:hAnsi="Times New Roman" w:cs="Times New Roman" w:hint="eastAsia"/>
          <w:sz w:val="18"/>
          <w:szCs w:val="20"/>
        </w:rPr>
        <w:t xml:space="preserve">, </w:t>
      </w:r>
      <w:r w:rsidR="00462805">
        <w:rPr>
          <w:rFonts w:ascii="Times New Roman" w:eastAsia="新細明體" w:hAnsi="Times New Roman" w:cs="Times New Roman"/>
          <w:sz w:val="18"/>
          <w:szCs w:val="20"/>
        </w:rPr>
        <w:t>199</w:t>
      </w:r>
      <w:r>
        <w:rPr>
          <w:rFonts w:ascii="Times New Roman" w:eastAsia="新細明體" w:hAnsi="Times New Roman" w:cs="Times New Roman"/>
          <w:sz w:val="18"/>
          <w:szCs w:val="20"/>
        </w:rPr>
        <w:t>3</w:t>
      </w:r>
      <w:r w:rsidR="00DF1595" w:rsidRPr="00142A62">
        <w:rPr>
          <w:rFonts w:ascii="Times New Roman" w:eastAsia="新細明體" w:hAnsi="Times New Roman" w:cs="Times New Roman" w:hint="eastAsia"/>
          <w:sz w:val="18"/>
          <w:szCs w:val="20"/>
        </w:rPr>
        <w:t xml:space="preserve">, School Year </w:t>
      </w:r>
      <w:r w:rsidR="00462805">
        <w:rPr>
          <w:rFonts w:ascii="Times New Roman" w:eastAsia="新細明體" w:hAnsi="Times New Roman" w:cs="Times New Roman"/>
          <w:sz w:val="18"/>
          <w:szCs w:val="20"/>
        </w:rPr>
        <w:t>8</w:t>
      </w:r>
      <w:r>
        <w:rPr>
          <w:rFonts w:ascii="Times New Roman" w:eastAsia="新細明體" w:hAnsi="Times New Roman" w:cs="Times New Roman"/>
          <w:sz w:val="18"/>
          <w:szCs w:val="20"/>
        </w:rPr>
        <w:t>1</w:t>
      </w:r>
      <w:r w:rsidR="00DF1595" w:rsidRPr="00142A62">
        <w:rPr>
          <w:rFonts w:ascii="Times New Roman" w:eastAsia="新細明體" w:hAnsi="Times New Roman" w:cs="Times New Roman" w:hint="eastAsia"/>
          <w:sz w:val="18"/>
          <w:szCs w:val="20"/>
        </w:rPr>
        <w:t>.</w:t>
      </w:r>
    </w:p>
    <w:p w:rsidR="00DF1595" w:rsidRPr="00142A62" w:rsidRDefault="00462805" w:rsidP="00405721">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00DF1595"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sz w:val="18"/>
          <w:szCs w:val="20"/>
        </w:rPr>
        <w:t>2</w:t>
      </w:r>
      <w:r w:rsidRPr="00462805">
        <w:rPr>
          <w:rFonts w:ascii="Times New Roman" w:eastAsia="新細明體" w:hAnsi="Times New Roman" w:cs="Times New Roman"/>
          <w:sz w:val="18"/>
          <w:szCs w:val="20"/>
          <w:vertAlign w:val="superscript"/>
        </w:rPr>
        <w:t>nd</w:t>
      </w:r>
      <w:r>
        <w:rPr>
          <w:rFonts w:ascii="Times New Roman" w:eastAsia="新細明體" w:hAnsi="Times New Roman" w:cs="Times New Roman"/>
          <w:sz w:val="18"/>
          <w:szCs w:val="20"/>
        </w:rPr>
        <w:t xml:space="preserve"> </w:t>
      </w:r>
      <w:r w:rsidR="00DF1595" w:rsidRPr="00142A62">
        <w:rPr>
          <w:rFonts w:ascii="Times New Roman" w:eastAsia="新細明體" w:hAnsi="Times New Roman" w:cs="Times New Roman" w:hint="eastAsia"/>
          <w:sz w:val="18"/>
          <w:szCs w:val="20"/>
        </w:rPr>
        <w:t xml:space="preserve">College </w:t>
      </w:r>
      <w:r w:rsidRPr="00142A62">
        <w:rPr>
          <w:rFonts w:ascii="Times New Roman" w:eastAsia="新細明體" w:hAnsi="Times New Roman" w:cs="Times New Roman" w:hint="eastAsia"/>
          <w:sz w:val="18"/>
          <w:szCs w:val="20"/>
        </w:rPr>
        <w:t>General Meeting</w:t>
      </w:r>
      <w:r w:rsidR="00DF1595" w:rsidRPr="00142A62">
        <w:rPr>
          <w:rFonts w:ascii="Times New Roman" w:eastAsia="新細明體" w:hAnsi="Times New Roman" w:cs="Times New Roman" w:hint="eastAsia"/>
          <w:sz w:val="18"/>
          <w:szCs w:val="20"/>
        </w:rPr>
        <w:t xml:space="preserve"> on </w:t>
      </w:r>
      <w:r w:rsidR="002B5992">
        <w:rPr>
          <w:rFonts w:ascii="Times New Roman" w:eastAsia="新細明體" w:hAnsi="Times New Roman" w:cs="Times New Roman"/>
          <w:sz w:val="18"/>
          <w:szCs w:val="20"/>
        </w:rPr>
        <w:t>June</w:t>
      </w:r>
      <w:r w:rsidR="00DF1595" w:rsidRPr="00142A62">
        <w:rPr>
          <w:rFonts w:ascii="Times New Roman" w:eastAsia="新細明體" w:hAnsi="Times New Roman" w:cs="Times New Roman" w:hint="eastAsia"/>
          <w:sz w:val="18"/>
          <w:szCs w:val="20"/>
        </w:rPr>
        <w:t xml:space="preserve"> </w:t>
      </w:r>
      <w:r w:rsidR="002B5992">
        <w:rPr>
          <w:rFonts w:ascii="Times New Roman" w:eastAsia="新細明體" w:hAnsi="Times New Roman" w:cs="Times New Roman"/>
          <w:sz w:val="18"/>
          <w:szCs w:val="20"/>
        </w:rPr>
        <w:t>24</w:t>
      </w:r>
      <w:r w:rsidR="00DF1595"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1997</w:t>
      </w:r>
      <w:r w:rsidR="00DF1595" w:rsidRPr="00142A62">
        <w:rPr>
          <w:rFonts w:ascii="Times New Roman" w:eastAsia="新細明體" w:hAnsi="Times New Roman" w:cs="Times New Roman" w:hint="eastAsia"/>
          <w:sz w:val="18"/>
          <w:szCs w:val="20"/>
        </w:rPr>
        <w:t xml:space="preserve">, </w:t>
      </w:r>
      <w:r w:rsidR="002B5992">
        <w:rPr>
          <w:rFonts w:ascii="Times New Roman" w:eastAsia="新細明體" w:hAnsi="Times New Roman" w:cs="Times New Roman"/>
          <w:sz w:val="18"/>
          <w:szCs w:val="20"/>
        </w:rPr>
        <w:t>2</w:t>
      </w:r>
      <w:r w:rsidR="002B5992">
        <w:rPr>
          <w:rFonts w:ascii="Times New Roman" w:eastAsia="新細明體" w:hAnsi="Times New Roman" w:cs="Times New Roman"/>
          <w:sz w:val="18"/>
          <w:szCs w:val="20"/>
          <w:vertAlign w:val="superscript"/>
        </w:rPr>
        <w:t>nd</w:t>
      </w:r>
      <w:r>
        <w:rPr>
          <w:rFonts w:ascii="Times New Roman" w:eastAsia="新細明體" w:hAnsi="Times New Roman" w:cs="Times New Roman"/>
          <w:sz w:val="18"/>
          <w:szCs w:val="20"/>
        </w:rPr>
        <w:t xml:space="preserve"> </w:t>
      </w:r>
      <w:r w:rsidR="00DF1595" w:rsidRPr="00142A62">
        <w:rPr>
          <w:rFonts w:ascii="Times New Roman" w:eastAsia="新細明體" w:hAnsi="Times New Roman" w:cs="Times New Roman" w:hint="eastAsia"/>
          <w:sz w:val="18"/>
          <w:szCs w:val="20"/>
        </w:rPr>
        <w:t xml:space="preserve">Semester of School Year </w:t>
      </w:r>
      <w:r w:rsidR="002B5992">
        <w:rPr>
          <w:rFonts w:ascii="Times New Roman" w:eastAsia="新細明體" w:hAnsi="Times New Roman" w:cs="Times New Roman"/>
          <w:sz w:val="18"/>
          <w:szCs w:val="20"/>
        </w:rPr>
        <w:t>85</w:t>
      </w:r>
      <w:r w:rsidR="00DF1595" w:rsidRPr="00142A62">
        <w:rPr>
          <w:rFonts w:ascii="Times New Roman" w:eastAsia="新細明體" w:hAnsi="Times New Roman" w:cs="Times New Roman" w:hint="eastAsia"/>
          <w:sz w:val="18"/>
          <w:szCs w:val="20"/>
        </w:rPr>
        <w:t>.</w:t>
      </w:r>
    </w:p>
    <w:p w:rsidR="00462805" w:rsidRDefault="00462805" w:rsidP="00462805">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sidR="002B5992">
        <w:rPr>
          <w:rFonts w:ascii="Times New Roman" w:eastAsia="新細明體" w:hAnsi="Times New Roman" w:cs="Times New Roman" w:hint="eastAsia"/>
          <w:sz w:val="18"/>
          <w:szCs w:val="20"/>
        </w:rPr>
        <w:t>5</w:t>
      </w:r>
      <w:r w:rsidR="002B5992">
        <w:rPr>
          <w:rFonts w:ascii="Times New Roman" w:eastAsia="新細明體" w:hAnsi="Times New Roman" w:cs="Times New Roman"/>
          <w:sz w:val="18"/>
          <w:szCs w:val="20"/>
          <w:vertAlign w:val="superscript"/>
        </w:rPr>
        <w:t>th</w:t>
      </w:r>
      <w:r w:rsidR="002B5992">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College General Meeting on </w:t>
      </w:r>
      <w:r w:rsidR="002B5992">
        <w:rPr>
          <w:rFonts w:ascii="Times New Roman" w:eastAsia="新細明體" w:hAnsi="Times New Roman" w:cs="Times New Roman"/>
          <w:sz w:val="18"/>
          <w:szCs w:val="20"/>
        </w:rPr>
        <w:t>December</w:t>
      </w:r>
      <w:r>
        <w:rPr>
          <w:rFonts w:ascii="Times New Roman" w:eastAsia="新細明體" w:hAnsi="Times New Roman" w:cs="Times New Roman"/>
          <w:sz w:val="18"/>
          <w:szCs w:val="20"/>
        </w:rPr>
        <w:t xml:space="preserve"> </w:t>
      </w:r>
      <w:r w:rsidR="002B5992">
        <w:rPr>
          <w:rFonts w:ascii="Times New Roman" w:eastAsia="新細明體" w:hAnsi="Times New Roman" w:cs="Times New Roman"/>
          <w:sz w:val="18"/>
          <w:szCs w:val="20"/>
        </w:rPr>
        <w:t>8</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1997</w:t>
      </w:r>
      <w:r w:rsidRPr="00142A62">
        <w:rPr>
          <w:rFonts w:ascii="Times New Roman" w:eastAsia="新細明體" w:hAnsi="Times New Roman" w:cs="Times New Roman" w:hint="eastAsia"/>
          <w:sz w:val="18"/>
          <w:szCs w:val="20"/>
        </w:rPr>
        <w:t xml:space="preserve">, </w:t>
      </w:r>
      <w:r w:rsidR="002B5992">
        <w:rPr>
          <w:rFonts w:ascii="Times New Roman" w:eastAsia="新細明體" w:hAnsi="Times New Roman" w:cs="Times New Roman"/>
          <w:sz w:val="18"/>
          <w:szCs w:val="20"/>
        </w:rPr>
        <w:t>1</w:t>
      </w:r>
      <w:r w:rsidR="002B5992">
        <w:rPr>
          <w:rFonts w:ascii="Times New Roman" w:eastAsia="新細明體" w:hAnsi="Times New Roman" w:cs="Times New Roman"/>
          <w:sz w:val="18"/>
          <w:szCs w:val="20"/>
          <w:vertAlign w:val="superscript"/>
        </w:rPr>
        <w:t>st</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Semester of School Year </w:t>
      </w:r>
      <w:r w:rsidR="002B5992">
        <w:rPr>
          <w:rFonts w:ascii="Times New Roman" w:eastAsia="新細明體" w:hAnsi="Times New Roman" w:cs="Times New Roman"/>
          <w:sz w:val="18"/>
          <w:szCs w:val="20"/>
        </w:rPr>
        <w:t>86</w:t>
      </w:r>
      <w:r w:rsidRPr="00142A62">
        <w:rPr>
          <w:rFonts w:ascii="Times New Roman" w:eastAsia="新細明體" w:hAnsi="Times New Roman" w:cs="Times New Roman" w:hint="eastAsia"/>
          <w:sz w:val="18"/>
          <w:szCs w:val="20"/>
        </w:rPr>
        <w:t>.</w:t>
      </w:r>
    </w:p>
    <w:p w:rsidR="00462805" w:rsidRDefault="00462805" w:rsidP="00462805">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sz w:val="18"/>
          <w:szCs w:val="20"/>
        </w:rPr>
        <w:t>1</w:t>
      </w:r>
      <w:r w:rsidRPr="00462805">
        <w:rPr>
          <w:rFonts w:ascii="Times New Roman" w:eastAsia="新細明體" w:hAnsi="Times New Roman" w:cs="Times New Roman"/>
          <w:sz w:val="18"/>
          <w:szCs w:val="20"/>
          <w:vertAlign w:val="superscript"/>
        </w:rPr>
        <w:t>st</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College General Meeting on </w:t>
      </w:r>
      <w:r>
        <w:rPr>
          <w:rFonts w:ascii="Times New Roman" w:eastAsia="新細明體" w:hAnsi="Times New Roman" w:cs="Times New Roman"/>
          <w:sz w:val="18"/>
          <w:szCs w:val="20"/>
        </w:rPr>
        <w:t>April 20</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2000</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w:t>
      </w:r>
      <w:r w:rsidRPr="00462805">
        <w:rPr>
          <w:rFonts w:ascii="Times New Roman" w:eastAsia="新細明體" w:hAnsi="Times New Roman" w:cs="Times New Roman"/>
          <w:sz w:val="18"/>
          <w:szCs w:val="20"/>
          <w:vertAlign w:val="superscript"/>
        </w:rPr>
        <w:t>nd</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Semester of School Year </w:t>
      </w:r>
      <w:r>
        <w:rPr>
          <w:rFonts w:ascii="Times New Roman" w:eastAsia="新細明體" w:hAnsi="Times New Roman" w:cs="Times New Roman"/>
          <w:sz w:val="18"/>
          <w:szCs w:val="20"/>
        </w:rPr>
        <w:t>88</w:t>
      </w:r>
      <w:r w:rsidRPr="00142A62">
        <w:rPr>
          <w:rFonts w:ascii="Times New Roman" w:eastAsia="新細明體" w:hAnsi="Times New Roman" w:cs="Times New Roman" w:hint="eastAsia"/>
          <w:sz w:val="18"/>
          <w:szCs w:val="20"/>
        </w:rPr>
        <w:t>.</w:t>
      </w:r>
    </w:p>
    <w:p w:rsidR="00462805" w:rsidRPr="00142A62" w:rsidRDefault="00462805" w:rsidP="00462805">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sz w:val="18"/>
          <w:szCs w:val="20"/>
        </w:rPr>
        <w:t>233</w:t>
      </w:r>
      <w:r w:rsidRPr="00462805">
        <w:rPr>
          <w:rFonts w:ascii="Times New Roman" w:eastAsia="新細明體" w:hAnsi="Times New Roman" w:cs="Times New Roman"/>
          <w:sz w:val="18"/>
          <w:szCs w:val="20"/>
          <w:vertAlign w:val="superscript"/>
        </w:rPr>
        <w:t>th</w:t>
      </w:r>
      <w:r>
        <w:rPr>
          <w:rFonts w:ascii="Times New Roman" w:eastAsia="新細明體" w:hAnsi="Times New Roman" w:cs="Times New Roman"/>
          <w:sz w:val="18"/>
          <w:szCs w:val="20"/>
        </w:rPr>
        <w:t xml:space="preserve"> </w:t>
      </w:r>
      <w:r w:rsidRPr="00462805">
        <w:rPr>
          <w:rFonts w:ascii="Times New Roman" w:eastAsia="新細明體" w:hAnsi="Times New Roman" w:cs="Times New Roman"/>
          <w:sz w:val="18"/>
          <w:szCs w:val="20"/>
        </w:rPr>
        <w:t>University Faculty Evaluation Committee Meeting</w:t>
      </w:r>
      <w:r w:rsidRPr="00462805">
        <w:rPr>
          <w:rFonts w:ascii="Times New Roman" w:eastAsia="新細明體" w:hAnsi="Times New Roman" w:cs="Times New Roman" w:hint="eastAsia"/>
          <w:sz w:val="18"/>
          <w:szCs w:val="20"/>
        </w:rPr>
        <w:t xml:space="preserve"> </w:t>
      </w:r>
      <w:r w:rsidRPr="00142A62">
        <w:rPr>
          <w:rFonts w:ascii="Times New Roman" w:eastAsia="新細明體" w:hAnsi="Times New Roman" w:cs="Times New Roman" w:hint="eastAsia"/>
          <w:sz w:val="18"/>
          <w:szCs w:val="20"/>
        </w:rPr>
        <w:t xml:space="preserve">on </w:t>
      </w:r>
      <w:r>
        <w:rPr>
          <w:rFonts w:ascii="Times New Roman" w:eastAsia="新細明體" w:hAnsi="Times New Roman" w:cs="Times New Roman"/>
          <w:sz w:val="18"/>
          <w:szCs w:val="20"/>
        </w:rPr>
        <w:t>May</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16</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2000</w:t>
      </w:r>
      <w:r w:rsidRPr="00142A62">
        <w:rPr>
          <w:rFonts w:ascii="Times New Roman" w:eastAsia="新細明體" w:hAnsi="Times New Roman" w:cs="Times New Roman" w:hint="eastAsia"/>
          <w:sz w:val="18"/>
          <w:szCs w:val="20"/>
        </w:rPr>
        <w:t>.</w:t>
      </w:r>
    </w:p>
    <w:p w:rsidR="00462805" w:rsidRDefault="00462805" w:rsidP="00462805">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sz w:val="18"/>
          <w:szCs w:val="20"/>
        </w:rPr>
        <w:t>3</w:t>
      </w:r>
      <w:r w:rsidRPr="00462805">
        <w:rPr>
          <w:rFonts w:ascii="Times New Roman" w:eastAsia="新細明體" w:hAnsi="Times New Roman" w:cs="Times New Roman"/>
          <w:sz w:val="18"/>
          <w:szCs w:val="20"/>
          <w:vertAlign w:val="superscript"/>
        </w:rPr>
        <w:t>rd</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College General Meeting on </w:t>
      </w:r>
      <w:r>
        <w:rPr>
          <w:rFonts w:ascii="Times New Roman" w:eastAsia="新細明體" w:hAnsi="Times New Roman" w:cs="Times New Roman"/>
          <w:sz w:val="18"/>
          <w:szCs w:val="20"/>
        </w:rPr>
        <w:t>June 11</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200</w:t>
      </w:r>
      <w:r w:rsidR="00DE1520">
        <w:rPr>
          <w:rFonts w:ascii="Times New Roman" w:eastAsia="新細明體" w:hAnsi="Times New Roman" w:cs="Times New Roman"/>
          <w:sz w:val="18"/>
          <w:szCs w:val="20"/>
        </w:rPr>
        <w:t>4</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w:t>
      </w:r>
      <w:r w:rsidRPr="00462805">
        <w:rPr>
          <w:rFonts w:ascii="Times New Roman" w:eastAsia="新細明體" w:hAnsi="Times New Roman" w:cs="Times New Roman"/>
          <w:sz w:val="18"/>
          <w:szCs w:val="20"/>
          <w:vertAlign w:val="superscript"/>
        </w:rPr>
        <w:t>nd</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Semester of School Year </w:t>
      </w:r>
      <w:r w:rsidR="00DE1520">
        <w:rPr>
          <w:rFonts w:ascii="Times New Roman" w:eastAsia="新細明體" w:hAnsi="Times New Roman" w:cs="Times New Roman"/>
          <w:sz w:val="18"/>
          <w:szCs w:val="20"/>
        </w:rPr>
        <w:t>92</w:t>
      </w:r>
      <w:r w:rsidRPr="00142A62">
        <w:rPr>
          <w:rFonts w:ascii="Times New Roman" w:eastAsia="新細明體" w:hAnsi="Times New Roman" w:cs="Times New Roman" w:hint="eastAsia"/>
          <w:sz w:val="18"/>
          <w:szCs w:val="20"/>
        </w:rPr>
        <w:t>.</w:t>
      </w:r>
    </w:p>
    <w:p w:rsidR="00DE1520" w:rsidRPr="00142A62" w:rsidRDefault="00DE1520" w:rsidP="00DE1520">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sz w:val="18"/>
          <w:szCs w:val="20"/>
        </w:rPr>
        <w:t>291</w:t>
      </w:r>
      <w:r w:rsidRPr="00462805">
        <w:rPr>
          <w:rFonts w:ascii="Times New Roman" w:eastAsia="新細明體" w:hAnsi="Times New Roman" w:cs="Times New Roman"/>
          <w:sz w:val="18"/>
          <w:szCs w:val="20"/>
          <w:vertAlign w:val="superscript"/>
        </w:rPr>
        <w:t>th</w:t>
      </w:r>
      <w:r>
        <w:rPr>
          <w:rFonts w:ascii="Times New Roman" w:eastAsia="新細明體" w:hAnsi="Times New Roman" w:cs="Times New Roman"/>
          <w:sz w:val="18"/>
          <w:szCs w:val="20"/>
        </w:rPr>
        <w:t xml:space="preserve"> </w:t>
      </w:r>
      <w:r w:rsidRPr="00462805">
        <w:rPr>
          <w:rFonts w:ascii="Times New Roman" w:eastAsia="新細明體" w:hAnsi="Times New Roman" w:cs="Times New Roman"/>
          <w:sz w:val="18"/>
          <w:szCs w:val="20"/>
        </w:rPr>
        <w:t>University Faculty Evaluation Committee Meeting</w:t>
      </w:r>
      <w:r w:rsidRPr="00462805">
        <w:rPr>
          <w:rFonts w:ascii="Times New Roman" w:eastAsia="新細明體" w:hAnsi="Times New Roman" w:cs="Times New Roman" w:hint="eastAsia"/>
          <w:sz w:val="18"/>
          <w:szCs w:val="20"/>
        </w:rPr>
        <w:t xml:space="preserve"> </w:t>
      </w:r>
      <w:r w:rsidRPr="00142A62">
        <w:rPr>
          <w:rFonts w:ascii="Times New Roman" w:eastAsia="新細明體" w:hAnsi="Times New Roman" w:cs="Times New Roman" w:hint="eastAsia"/>
          <w:sz w:val="18"/>
          <w:szCs w:val="20"/>
        </w:rPr>
        <w:t xml:space="preserve">on </w:t>
      </w:r>
      <w:r>
        <w:rPr>
          <w:rFonts w:ascii="Times New Roman" w:eastAsia="新細明體" w:hAnsi="Times New Roman" w:cs="Times New Roman"/>
          <w:sz w:val="18"/>
          <w:szCs w:val="20"/>
        </w:rPr>
        <w:t>September</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30</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2004</w:t>
      </w:r>
      <w:r w:rsidRPr="00142A62">
        <w:rPr>
          <w:rFonts w:ascii="Times New Roman" w:eastAsia="新細明體" w:hAnsi="Times New Roman" w:cs="Times New Roman" w:hint="eastAsia"/>
          <w:sz w:val="18"/>
          <w:szCs w:val="20"/>
        </w:rPr>
        <w:t>.</w:t>
      </w:r>
    </w:p>
    <w:p w:rsidR="00DE1520" w:rsidRDefault="00DE1520" w:rsidP="00DE1520">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sz w:val="18"/>
          <w:szCs w:val="20"/>
        </w:rPr>
        <w:t>2</w:t>
      </w:r>
      <w:r w:rsidRPr="00DE1520">
        <w:rPr>
          <w:rFonts w:ascii="Times New Roman" w:eastAsia="新細明體" w:hAnsi="Times New Roman" w:cs="Times New Roman"/>
          <w:sz w:val="18"/>
          <w:szCs w:val="20"/>
          <w:vertAlign w:val="superscript"/>
        </w:rPr>
        <w:t>nd</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College General Meeting on </w:t>
      </w:r>
      <w:r>
        <w:rPr>
          <w:rFonts w:ascii="Times New Roman" w:eastAsia="新細明體" w:hAnsi="Times New Roman" w:cs="Times New Roman"/>
          <w:sz w:val="18"/>
          <w:szCs w:val="20"/>
        </w:rPr>
        <w:t>June 14</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2006</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w:t>
      </w:r>
      <w:r w:rsidRPr="00462805">
        <w:rPr>
          <w:rFonts w:ascii="Times New Roman" w:eastAsia="新細明體" w:hAnsi="Times New Roman" w:cs="Times New Roman"/>
          <w:sz w:val="18"/>
          <w:szCs w:val="20"/>
          <w:vertAlign w:val="superscript"/>
        </w:rPr>
        <w:t>nd</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Semester of School Year </w:t>
      </w:r>
      <w:r>
        <w:rPr>
          <w:rFonts w:ascii="Times New Roman" w:eastAsia="新細明體" w:hAnsi="Times New Roman" w:cs="Times New Roman"/>
          <w:sz w:val="18"/>
          <w:szCs w:val="20"/>
        </w:rPr>
        <w:t>94</w:t>
      </w:r>
      <w:r w:rsidRPr="00142A62">
        <w:rPr>
          <w:rFonts w:ascii="Times New Roman" w:eastAsia="新細明體" w:hAnsi="Times New Roman" w:cs="Times New Roman" w:hint="eastAsia"/>
          <w:sz w:val="18"/>
          <w:szCs w:val="20"/>
        </w:rPr>
        <w:t>.</w:t>
      </w:r>
    </w:p>
    <w:p w:rsidR="00DE1520" w:rsidRDefault="00DE1520" w:rsidP="00DE1520">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sz w:val="18"/>
          <w:szCs w:val="20"/>
        </w:rPr>
        <w:t>4</w:t>
      </w:r>
      <w:r w:rsidRPr="00DE1520">
        <w:rPr>
          <w:rFonts w:ascii="Times New Roman" w:eastAsia="新細明體" w:hAnsi="Times New Roman" w:cs="Times New Roman"/>
          <w:sz w:val="18"/>
          <w:szCs w:val="20"/>
          <w:vertAlign w:val="superscript"/>
        </w:rPr>
        <w:t>th</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College General Meeting on </w:t>
      </w:r>
      <w:r>
        <w:rPr>
          <w:rFonts w:ascii="Times New Roman" w:eastAsia="新細明體" w:hAnsi="Times New Roman" w:cs="Times New Roman"/>
          <w:sz w:val="18"/>
          <w:szCs w:val="20"/>
        </w:rPr>
        <w:t>June 3</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2013</w:t>
      </w:r>
      <w:r w:rsidRPr="00142A62">
        <w:rPr>
          <w:rFonts w:ascii="Times New Roman" w:eastAsia="新細明體" w:hAnsi="Times New Roman" w:cs="Times New Roman" w:hint="eastAsia"/>
          <w:sz w:val="18"/>
          <w:szCs w:val="20"/>
        </w:rPr>
        <w:t xml:space="preserve">, School Year </w:t>
      </w:r>
      <w:r>
        <w:rPr>
          <w:rFonts w:ascii="Times New Roman" w:eastAsia="新細明體" w:hAnsi="Times New Roman" w:cs="Times New Roman"/>
          <w:sz w:val="18"/>
          <w:szCs w:val="20"/>
        </w:rPr>
        <w:t>101</w:t>
      </w:r>
      <w:r w:rsidRPr="00142A62">
        <w:rPr>
          <w:rFonts w:ascii="Times New Roman" w:eastAsia="新細明體" w:hAnsi="Times New Roman" w:cs="Times New Roman" w:hint="eastAsia"/>
          <w:sz w:val="18"/>
          <w:szCs w:val="20"/>
        </w:rPr>
        <w:t>.</w:t>
      </w:r>
    </w:p>
    <w:p w:rsidR="00DE1520" w:rsidRPr="00142A62" w:rsidRDefault="00DE1520" w:rsidP="00DE1520">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hint="eastAsia"/>
          <w:sz w:val="18"/>
          <w:szCs w:val="20"/>
        </w:rPr>
        <w:t>355</w:t>
      </w:r>
      <w:r w:rsidRPr="00462805">
        <w:rPr>
          <w:rFonts w:ascii="Times New Roman" w:eastAsia="新細明體" w:hAnsi="Times New Roman" w:cs="Times New Roman"/>
          <w:sz w:val="18"/>
          <w:szCs w:val="20"/>
          <w:vertAlign w:val="superscript"/>
        </w:rPr>
        <w:t>th</w:t>
      </w:r>
      <w:r>
        <w:rPr>
          <w:rFonts w:ascii="Times New Roman" w:eastAsia="新細明體" w:hAnsi="Times New Roman" w:cs="Times New Roman"/>
          <w:sz w:val="18"/>
          <w:szCs w:val="20"/>
        </w:rPr>
        <w:t xml:space="preserve"> </w:t>
      </w:r>
      <w:r w:rsidRPr="00462805">
        <w:rPr>
          <w:rFonts w:ascii="Times New Roman" w:eastAsia="新細明體" w:hAnsi="Times New Roman" w:cs="Times New Roman"/>
          <w:sz w:val="18"/>
          <w:szCs w:val="20"/>
        </w:rPr>
        <w:t>University Faculty Evaluation Committee Meeting</w:t>
      </w:r>
      <w:r w:rsidRPr="00462805">
        <w:rPr>
          <w:rFonts w:ascii="Times New Roman" w:eastAsia="新細明體" w:hAnsi="Times New Roman" w:cs="Times New Roman" w:hint="eastAsia"/>
          <w:sz w:val="18"/>
          <w:szCs w:val="20"/>
        </w:rPr>
        <w:t xml:space="preserve"> </w:t>
      </w:r>
      <w:r w:rsidRPr="00142A62">
        <w:rPr>
          <w:rFonts w:ascii="Times New Roman" w:eastAsia="新細明體" w:hAnsi="Times New Roman" w:cs="Times New Roman" w:hint="eastAsia"/>
          <w:sz w:val="18"/>
          <w:szCs w:val="20"/>
        </w:rPr>
        <w:t xml:space="preserve">on </w:t>
      </w:r>
      <w:r>
        <w:rPr>
          <w:rFonts w:ascii="Times New Roman" w:eastAsia="新細明體" w:hAnsi="Times New Roman" w:cs="Times New Roman" w:hint="eastAsia"/>
          <w:sz w:val="18"/>
          <w:szCs w:val="20"/>
        </w:rPr>
        <w:t>J</w:t>
      </w:r>
      <w:r>
        <w:rPr>
          <w:rFonts w:ascii="Times New Roman" w:eastAsia="新細明體" w:hAnsi="Times New Roman" w:cs="Times New Roman"/>
          <w:sz w:val="18"/>
          <w:szCs w:val="20"/>
        </w:rPr>
        <w:t>une</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13</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2013</w:t>
      </w:r>
      <w:r w:rsidRPr="00142A62">
        <w:rPr>
          <w:rFonts w:ascii="Times New Roman" w:eastAsia="新細明體" w:hAnsi="Times New Roman" w:cs="Times New Roman" w:hint="eastAsia"/>
          <w:sz w:val="18"/>
          <w:szCs w:val="20"/>
        </w:rPr>
        <w:t>.</w:t>
      </w:r>
    </w:p>
    <w:p w:rsidR="00DE1520" w:rsidRDefault="00DE1520" w:rsidP="00DE1520">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sz w:val="18"/>
          <w:szCs w:val="20"/>
        </w:rPr>
        <w:t>4</w:t>
      </w:r>
      <w:r w:rsidRPr="00DE1520">
        <w:rPr>
          <w:rFonts w:ascii="Times New Roman" w:eastAsia="新細明體" w:hAnsi="Times New Roman" w:cs="Times New Roman"/>
          <w:sz w:val="18"/>
          <w:szCs w:val="20"/>
          <w:vertAlign w:val="superscript"/>
        </w:rPr>
        <w:t>th</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College General Meeting on </w:t>
      </w:r>
      <w:r>
        <w:rPr>
          <w:rFonts w:ascii="Times New Roman" w:eastAsia="新細明體" w:hAnsi="Times New Roman" w:cs="Times New Roman"/>
          <w:sz w:val="18"/>
          <w:szCs w:val="20"/>
        </w:rPr>
        <w:t>April 16</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2015</w:t>
      </w:r>
      <w:r w:rsidRPr="00142A62">
        <w:rPr>
          <w:rFonts w:ascii="Times New Roman" w:eastAsia="新細明體" w:hAnsi="Times New Roman" w:cs="Times New Roman" w:hint="eastAsia"/>
          <w:sz w:val="18"/>
          <w:szCs w:val="20"/>
        </w:rPr>
        <w:t xml:space="preserve">, School Year </w:t>
      </w:r>
      <w:r>
        <w:rPr>
          <w:rFonts w:ascii="Times New Roman" w:eastAsia="新細明體" w:hAnsi="Times New Roman" w:cs="Times New Roman"/>
          <w:sz w:val="18"/>
          <w:szCs w:val="20"/>
        </w:rPr>
        <w:t>103</w:t>
      </w:r>
      <w:r w:rsidRPr="00142A62">
        <w:rPr>
          <w:rFonts w:ascii="Times New Roman" w:eastAsia="新細明體" w:hAnsi="Times New Roman" w:cs="Times New Roman" w:hint="eastAsia"/>
          <w:sz w:val="18"/>
          <w:szCs w:val="20"/>
        </w:rPr>
        <w:t>.</w:t>
      </w:r>
    </w:p>
    <w:p w:rsidR="00DE1520" w:rsidRDefault="00DE1520" w:rsidP="00DE1520">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hint="eastAsia"/>
          <w:sz w:val="18"/>
          <w:szCs w:val="20"/>
        </w:rPr>
        <w:t>3</w:t>
      </w:r>
      <w:r>
        <w:rPr>
          <w:rFonts w:ascii="Times New Roman" w:eastAsia="新細明體" w:hAnsi="Times New Roman" w:cs="Times New Roman"/>
          <w:sz w:val="18"/>
          <w:szCs w:val="20"/>
        </w:rPr>
        <w:t>67</w:t>
      </w:r>
      <w:r w:rsidRPr="00462805">
        <w:rPr>
          <w:rFonts w:ascii="Times New Roman" w:eastAsia="新細明體" w:hAnsi="Times New Roman" w:cs="Times New Roman"/>
          <w:sz w:val="18"/>
          <w:szCs w:val="20"/>
          <w:vertAlign w:val="superscript"/>
        </w:rPr>
        <w:t>th</w:t>
      </w:r>
      <w:r>
        <w:rPr>
          <w:rFonts w:ascii="Times New Roman" w:eastAsia="新細明體" w:hAnsi="Times New Roman" w:cs="Times New Roman"/>
          <w:sz w:val="18"/>
          <w:szCs w:val="20"/>
        </w:rPr>
        <w:t xml:space="preserve"> </w:t>
      </w:r>
      <w:r w:rsidRPr="00462805">
        <w:rPr>
          <w:rFonts w:ascii="Times New Roman" w:eastAsia="新細明體" w:hAnsi="Times New Roman" w:cs="Times New Roman"/>
          <w:sz w:val="18"/>
          <w:szCs w:val="20"/>
        </w:rPr>
        <w:t>University Faculty Evaluation Committee Meeting</w:t>
      </w:r>
      <w:r w:rsidRPr="00462805">
        <w:rPr>
          <w:rFonts w:ascii="Times New Roman" w:eastAsia="新細明體" w:hAnsi="Times New Roman" w:cs="Times New Roman" w:hint="eastAsia"/>
          <w:sz w:val="18"/>
          <w:szCs w:val="20"/>
        </w:rPr>
        <w:t xml:space="preserve"> </w:t>
      </w:r>
      <w:r w:rsidRPr="00142A62">
        <w:rPr>
          <w:rFonts w:ascii="Times New Roman" w:eastAsia="新細明體" w:hAnsi="Times New Roman" w:cs="Times New Roman" w:hint="eastAsia"/>
          <w:sz w:val="18"/>
          <w:szCs w:val="20"/>
        </w:rPr>
        <w:t xml:space="preserve">on </w:t>
      </w:r>
      <w:r>
        <w:rPr>
          <w:rFonts w:ascii="Times New Roman" w:eastAsia="新細明體" w:hAnsi="Times New Roman" w:cs="Times New Roman"/>
          <w:sz w:val="18"/>
          <w:szCs w:val="20"/>
        </w:rPr>
        <w:t>May 14</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2015</w:t>
      </w:r>
      <w:r w:rsidRPr="00142A62">
        <w:rPr>
          <w:rFonts w:ascii="Times New Roman" w:eastAsia="新細明體" w:hAnsi="Times New Roman" w:cs="Times New Roman" w:hint="eastAsia"/>
          <w:sz w:val="18"/>
          <w:szCs w:val="20"/>
        </w:rPr>
        <w:t>.</w:t>
      </w:r>
    </w:p>
    <w:p w:rsidR="002B5992" w:rsidRPr="00CC1F81" w:rsidRDefault="002B5992" w:rsidP="002B5992">
      <w:pPr>
        <w:widowControl w:val="0"/>
        <w:spacing w:line="206" w:lineRule="exact"/>
        <w:ind w:right="144"/>
        <w:rPr>
          <w:rFonts w:ascii="Times New Roman" w:eastAsia="新細明體" w:hAnsi="Times New Roman" w:cs="Times New Roman"/>
          <w:sz w:val="18"/>
          <w:szCs w:val="20"/>
        </w:rPr>
      </w:pPr>
      <w:r w:rsidRPr="00CC1F81">
        <w:rPr>
          <w:rFonts w:ascii="Times New Roman" w:eastAsia="新細明體" w:hAnsi="Times New Roman" w:cs="Times New Roman"/>
          <w:sz w:val="18"/>
          <w:szCs w:val="20"/>
        </w:rPr>
        <w:t xml:space="preserve">Amended and </w:t>
      </w:r>
      <w:r w:rsidRPr="00CC1F81">
        <w:rPr>
          <w:rFonts w:ascii="Times New Roman" w:eastAsia="新細明體" w:hAnsi="Times New Roman" w:cs="Times New Roman" w:hint="eastAsia"/>
          <w:sz w:val="18"/>
          <w:szCs w:val="20"/>
        </w:rPr>
        <w:t xml:space="preserve">Approved by the </w:t>
      </w:r>
      <w:r w:rsidRPr="00CC1F81">
        <w:rPr>
          <w:rFonts w:ascii="Times New Roman" w:eastAsia="新細明體" w:hAnsi="Times New Roman" w:cs="Times New Roman"/>
          <w:sz w:val="18"/>
          <w:szCs w:val="20"/>
        </w:rPr>
        <w:t>4</w:t>
      </w:r>
      <w:r w:rsidRPr="00CC1F81">
        <w:rPr>
          <w:rFonts w:ascii="Times New Roman" w:eastAsia="新細明體" w:hAnsi="Times New Roman" w:cs="Times New Roman"/>
          <w:sz w:val="18"/>
          <w:szCs w:val="20"/>
          <w:vertAlign w:val="superscript"/>
        </w:rPr>
        <w:t>th</w:t>
      </w:r>
      <w:r w:rsidRPr="00CC1F81">
        <w:rPr>
          <w:rFonts w:ascii="Times New Roman" w:eastAsia="新細明體" w:hAnsi="Times New Roman" w:cs="Times New Roman"/>
          <w:sz w:val="18"/>
          <w:szCs w:val="20"/>
        </w:rPr>
        <w:t xml:space="preserve"> </w:t>
      </w:r>
      <w:r w:rsidRPr="00CC1F81">
        <w:rPr>
          <w:rFonts w:ascii="Times New Roman" w:eastAsia="新細明體" w:hAnsi="Times New Roman" w:cs="Times New Roman" w:hint="eastAsia"/>
          <w:sz w:val="18"/>
          <w:szCs w:val="20"/>
        </w:rPr>
        <w:t xml:space="preserve">College General Meeting on </w:t>
      </w:r>
      <w:r w:rsidRPr="00CC1F81">
        <w:rPr>
          <w:rFonts w:ascii="Times New Roman" w:eastAsia="新細明體" w:hAnsi="Times New Roman" w:cs="Times New Roman"/>
          <w:sz w:val="18"/>
          <w:szCs w:val="20"/>
        </w:rPr>
        <w:t>March 10</w:t>
      </w:r>
      <w:r w:rsidRPr="00CC1F81">
        <w:rPr>
          <w:rFonts w:ascii="Times New Roman" w:eastAsia="新細明體" w:hAnsi="Times New Roman" w:cs="Times New Roman" w:hint="eastAsia"/>
          <w:sz w:val="18"/>
          <w:szCs w:val="20"/>
        </w:rPr>
        <w:t xml:space="preserve">, </w:t>
      </w:r>
      <w:r w:rsidRPr="00CC1F81">
        <w:rPr>
          <w:rFonts w:ascii="Times New Roman" w:eastAsia="新細明體" w:hAnsi="Times New Roman" w:cs="Times New Roman"/>
          <w:sz w:val="18"/>
          <w:szCs w:val="20"/>
        </w:rPr>
        <w:t>2016</w:t>
      </w:r>
      <w:r w:rsidRPr="00CC1F81">
        <w:rPr>
          <w:rFonts w:ascii="Times New Roman" w:eastAsia="新細明體" w:hAnsi="Times New Roman" w:cs="Times New Roman" w:hint="eastAsia"/>
          <w:sz w:val="18"/>
          <w:szCs w:val="20"/>
        </w:rPr>
        <w:t xml:space="preserve">, School Year </w:t>
      </w:r>
      <w:r w:rsidRPr="00CC1F81">
        <w:rPr>
          <w:rFonts w:ascii="Times New Roman" w:eastAsia="新細明體" w:hAnsi="Times New Roman" w:cs="Times New Roman"/>
          <w:sz w:val="18"/>
          <w:szCs w:val="20"/>
        </w:rPr>
        <w:t>104</w:t>
      </w:r>
      <w:r w:rsidRPr="00CC1F81">
        <w:rPr>
          <w:rFonts w:ascii="Times New Roman" w:eastAsia="新細明體" w:hAnsi="Times New Roman" w:cs="Times New Roman" w:hint="eastAsia"/>
          <w:sz w:val="18"/>
          <w:szCs w:val="20"/>
        </w:rPr>
        <w:t>.</w:t>
      </w:r>
    </w:p>
    <w:p w:rsidR="002B5992" w:rsidRPr="00CC1F81" w:rsidRDefault="002B5992" w:rsidP="002B5992">
      <w:pPr>
        <w:widowControl w:val="0"/>
        <w:spacing w:line="206" w:lineRule="exact"/>
        <w:ind w:right="144"/>
        <w:rPr>
          <w:rFonts w:ascii="Times New Roman" w:eastAsia="新細明體" w:hAnsi="Times New Roman" w:cs="Times New Roman"/>
          <w:sz w:val="18"/>
          <w:szCs w:val="20"/>
        </w:rPr>
      </w:pPr>
      <w:r w:rsidRPr="00CC1F81">
        <w:rPr>
          <w:rFonts w:ascii="Times New Roman" w:eastAsia="新細明體" w:hAnsi="Times New Roman" w:cs="Times New Roman"/>
          <w:sz w:val="18"/>
          <w:szCs w:val="20"/>
        </w:rPr>
        <w:t xml:space="preserve">Amended and </w:t>
      </w:r>
      <w:r w:rsidRPr="00CC1F81">
        <w:rPr>
          <w:rFonts w:ascii="Times New Roman" w:eastAsia="新細明體" w:hAnsi="Times New Roman" w:cs="Times New Roman" w:hint="eastAsia"/>
          <w:sz w:val="18"/>
          <w:szCs w:val="20"/>
        </w:rPr>
        <w:t>Approved by the 3</w:t>
      </w:r>
      <w:r w:rsidRPr="00CC1F81">
        <w:rPr>
          <w:rFonts w:ascii="Times New Roman" w:eastAsia="新細明體" w:hAnsi="Times New Roman" w:cs="Times New Roman"/>
          <w:sz w:val="18"/>
          <w:szCs w:val="20"/>
        </w:rPr>
        <w:t>72</w:t>
      </w:r>
      <w:r w:rsidRPr="00CC1F81">
        <w:rPr>
          <w:rFonts w:ascii="Times New Roman" w:eastAsia="新細明體" w:hAnsi="Times New Roman" w:cs="Times New Roman"/>
          <w:sz w:val="18"/>
          <w:szCs w:val="20"/>
          <w:vertAlign w:val="superscript"/>
        </w:rPr>
        <w:t>th</w:t>
      </w:r>
      <w:r w:rsidRPr="00CC1F81">
        <w:rPr>
          <w:rFonts w:ascii="Times New Roman" w:eastAsia="新細明體" w:hAnsi="Times New Roman" w:cs="Times New Roman"/>
          <w:sz w:val="18"/>
          <w:szCs w:val="20"/>
        </w:rPr>
        <w:t xml:space="preserve"> University Faculty Evaluation Committee Meeting</w:t>
      </w:r>
      <w:r w:rsidRPr="00CC1F81">
        <w:rPr>
          <w:rFonts w:ascii="Times New Roman" w:eastAsia="新細明體" w:hAnsi="Times New Roman" w:cs="Times New Roman" w:hint="eastAsia"/>
          <w:sz w:val="18"/>
          <w:szCs w:val="20"/>
        </w:rPr>
        <w:t xml:space="preserve"> on </w:t>
      </w:r>
      <w:r w:rsidRPr="00CC1F81">
        <w:rPr>
          <w:rFonts w:ascii="Times New Roman" w:eastAsia="新細明體" w:hAnsi="Times New Roman" w:cs="Times New Roman"/>
          <w:sz w:val="18"/>
          <w:szCs w:val="20"/>
        </w:rPr>
        <w:t>March 24</w:t>
      </w:r>
      <w:r w:rsidRPr="00CC1F81">
        <w:rPr>
          <w:rFonts w:ascii="Times New Roman" w:eastAsia="新細明體" w:hAnsi="Times New Roman" w:cs="Times New Roman" w:hint="eastAsia"/>
          <w:sz w:val="18"/>
          <w:szCs w:val="20"/>
        </w:rPr>
        <w:t xml:space="preserve">, </w:t>
      </w:r>
      <w:r w:rsidRPr="00CC1F81">
        <w:rPr>
          <w:rFonts w:ascii="Times New Roman" w:eastAsia="新細明體" w:hAnsi="Times New Roman" w:cs="Times New Roman"/>
          <w:sz w:val="18"/>
          <w:szCs w:val="20"/>
        </w:rPr>
        <w:t>2016</w:t>
      </w:r>
      <w:r w:rsidRPr="00CC1F81">
        <w:rPr>
          <w:rFonts w:ascii="Times New Roman" w:eastAsia="新細明體" w:hAnsi="Times New Roman" w:cs="Times New Roman" w:hint="eastAsia"/>
          <w:sz w:val="18"/>
          <w:szCs w:val="20"/>
        </w:rPr>
        <w:t>.</w:t>
      </w:r>
    </w:p>
    <w:p w:rsidR="002B5992" w:rsidRPr="00CC1F81" w:rsidRDefault="002B5992" w:rsidP="002B5992">
      <w:pPr>
        <w:widowControl w:val="0"/>
        <w:spacing w:line="206" w:lineRule="exact"/>
        <w:ind w:right="144"/>
        <w:rPr>
          <w:rFonts w:ascii="Times New Roman" w:eastAsia="新細明體" w:hAnsi="Times New Roman" w:cs="Times New Roman"/>
          <w:sz w:val="18"/>
          <w:szCs w:val="20"/>
        </w:rPr>
      </w:pPr>
      <w:r w:rsidRPr="00CC1F81">
        <w:rPr>
          <w:rFonts w:ascii="Times New Roman" w:eastAsia="新細明體" w:hAnsi="Times New Roman" w:cs="Times New Roman"/>
          <w:sz w:val="18"/>
          <w:szCs w:val="20"/>
        </w:rPr>
        <w:t xml:space="preserve">Amended and </w:t>
      </w:r>
      <w:r w:rsidRPr="00CC1F81">
        <w:rPr>
          <w:rFonts w:ascii="Times New Roman" w:eastAsia="新細明體" w:hAnsi="Times New Roman" w:cs="Times New Roman" w:hint="eastAsia"/>
          <w:sz w:val="18"/>
          <w:szCs w:val="20"/>
        </w:rPr>
        <w:t xml:space="preserve">Approved by the </w:t>
      </w:r>
      <w:r w:rsidRPr="00CC1F81">
        <w:rPr>
          <w:rFonts w:ascii="Times New Roman" w:eastAsia="新細明體" w:hAnsi="Times New Roman" w:cs="Times New Roman"/>
          <w:sz w:val="18"/>
          <w:szCs w:val="20"/>
        </w:rPr>
        <w:t>4</w:t>
      </w:r>
      <w:r w:rsidRPr="00CC1F81">
        <w:rPr>
          <w:rFonts w:ascii="Times New Roman" w:eastAsia="新細明體" w:hAnsi="Times New Roman" w:cs="Times New Roman"/>
          <w:sz w:val="18"/>
          <w:szCs w:val="20"/>
          <w:vertAlign w:val="superscript"/>
        </w:rPr>
        <w:t>th</w:t>
      </w:r>
      <w:r w:rsidRPr="00CC1F81">
        <w:rPr>
          <w:rFonts w:ascii="Times New Roman" w:eastAsia="新細明體" w:hAnsi="Times New Roman" w:cs="Times New Roman"/>
          <w:sz w:val="18"/>
          <w:szCs w:val="20"/>
        </w:rPr>
        <w:t xml:space="preserve"> </w:t>
      </w:r>
      <w:r w:rsidRPr="00CC1F81">
        <w:rPr>
          <w:rFonts w:ascii="Times New Roman" w:eastAsia="新細明體" w:hAnsi="Times New Roman" w:cs="Times New Roman" w:hint="eastAsia"/>
          <w:sz w:val="18"/>
          <w:szCs w:val="20"/>
        </w:rPr>
        <w:t xml:space="preserve">College General Meeting on </w:t>
      </w:r>
      <w:r w:rsidRPr="00CC1F81">
        <w:rPr>
          <w:rFonts w:ascii="Times New Roman" w:eastAsia="新細明體" w:hAnsi="Times New Roman" w:cs="Times New Roman"/>
          <w:sz w:val="18"/>
          <w:szCs w:val="20"/>
        </w:rPr>
        <w:t>June 7</w:t>
      </w:r>
      <w:r w:rsidRPr="00CC1F81">
        <w:rPr>
          <w:rFonts w:ascii="Times New Roman" w:eastAsia="新細明體" w:hAnsi="Times New Roman" w:cs="Times New Roman" w:hint="eastAsia"/>
          <w:sz w:val="18"/>
          <w:szCs w:val="20"/>
        </w:rPr>
        <w:t xml:space="preserve">, </w:t>
      </w:r>
      <w:r w:rsidRPr="00CC1F81">
        <w:rPr>
          <w:rFonts w:ascii="Times New Roman" w:eastAsia="新細明體" w:hAnsi="Times New Roman" w:cs="Times New Roman"/>
          <w:sz w:val="18"/>
          <w:szCs w:val="20"/>
        </w:rPr>
        <w:t>2018</w:t>
      </w:r>
      <w:r w:rsidRPr="00CC1F81">
        <w:rPr>
          <w:rFonts w:ascii="Times New Roman" w:eastAsia="新細明體" w:hAnsi="Times New Roman" w:cs="Times New Roman" w:hint="eastAsia"/>
          <w:sz w:val="18"/>
          <w:szCs w:val="20"/>
        </w:rPr>
        <w:t xml:space="preserve">, School Year </w:t>
      </w:r>
      <w:r w:rsidRPr="00CC1F81">
        <w:rPr>
          <w:rFonts w:ascii="Times New Roman" w:eastAsia="新細明體" w:hAnsi="Times New Roman" w:cs="Times New Roman"/>
          <w:sz w:val="18"/>
          <w:szCs w:val="20"/>
        </w:rPr>
        <w:t>106</w:t>
      </w:r>
      <w:r w:rsidRPr="00CC1F81">
        <w:rPr>
          <w:rFonts w:ascii="Times New Roman" w:eastAsia="新細明體" w:hAnsi="Times New Roman" w:cs="Times New Roman" w:hint="eastAsia"/>
          <w:sz w:val="18"/>
          <w:szCs w:val="20"/>
        </w:rPr>
        <w:t>.</w:t>
      </w:r>
    </w:p>
    <w:p w:rsidR="002B5992" w:rsidRPr="00CC1F81" w:rsidRDefault="002B5992" w:rsidP="002B5992">
      <w:pPr>
        <w:widowControl w:val="0"/>
        <w:spacing w:line="206" w:lineRule="exact"/>
        <w:ind w:right="144"/>
        <w:rPr>
          <w:rFonts w:ascii="Times New Roman" w:eastAsia="新細明體" w:hAnsi="Times New Roman" w:cs="Times New Roman"/>
          <w:sz w:val="18"/>
          <w:szCs w:val="20"/>
        </w:rPr>
      </w:pPr>
      <w:r w:rsidRPr="00CC1F81">
        <w:rPr>
          <w:rFonts w:ascii="Times New Roman" w:eastAsia="新細明體" w:hAnsi="Times New Roman" w:cs="Times New Roman"/>
          <w:sz w:val="18"/>
          <w:szCs w:val="20"/>
        </w:rPr>
        <w:t xml:space="preserve">Amended and </w:t>
      </w:r>
      <w:r w:rsidRPr="00CC1F81">
        <w:rPr>
          <w:rFonts w:ascii="Times New Roman" w:eastAsia="新細明體" w:hAnsi="Times New Roman" w:cs="Times New Roman" w:hint="eastAsia"/>
          <w:sz w:val="18"/>
          <w:szCs w:val="20"/>
        </w:rPr>
        <w:t>Approved by the 3</w:t>
      </w:r>
      <w:r w:rsidRPr="00CC1F81">
        <w:rPr>
          <w:rFonts w:ascii="Times New Roman" w:eastAsia="新細明體" w:hAnsi="Times New Roman" w:cs="Times New Roman"/>
          <w:sz w:val="18"/>
          <w:szCs w:val="20"/>
        </w:rPr>
        <w:t>88</w:t>
      </w:r>
      <w:r w:rsidRPr="00CC1F81">
        <w:rPr>
          <w:rFonts w:ascii="Times New Roman" w:eastAsia="新細明體" w:hAnsi="Times New Roman" w:cs="Times New Roman"/>
          <w:sz w:val="18"/>
          <w:szCs w:val="20"/>
          <w:vertAlign w:val="superscript"/>
        </w:rPr>
        <w:t>th</w:t>
      </w:r>
      <w:r w:rsidRPr="00CC1F81">
        <w:rPr>
          <w:rFonts w:ascii="Times New Roman" w:eastAsia="新細明體" w:hAnsi="Times New Roman" w:cs="Times New Roman"/>
          <w:sz w:val="18"/>
          <w:szCs w:val="20"/>
        </w:rPr>
        <w:t xml:space="preserve"> University Faculty Evaluation Committee Meeting</w:t>
      </w:r>
      <w:r w:rsidRPr="00CC1F81">
        <w:rPr>
          <w:rFonts w:ascii="Times New Roman" w:eastAsia="新細明體" w:hAnsi="Times New Roman" w:cs="Times New Roman" w:hint="eastAsia"/>
          <w:sz w:val="18"/>
          <w:szCs w:val="20"/>
        </w:rPr>
        <w:t xml:space="preserve"> on </w:t>
      </w:r>
      <w:r w:rsidRPr="00CC1F81">
        <w:rPr>
          <w:rFonts w:ascii="Times New Roman" w:eastAsia="新細明體" w:hAnsi="Times New Roman" w:cs="Times New Roman"/>
          <w:sz w:val="18"/>
          <w:szCs w:val="20"/>
        </w:rPr>
        <w:t>June 21</w:t>
      </w:r>
      <w:r w:rsidRPr="00CC1F81">
        <w:rPr>
          <w:rFonts w:ascii="Times New Roman" w:eastAsia="新細明體" w:hAnsi="Times New Roman" w:cs="Times New Roman" w:hint="eastAsia"/>
          <w:sz w:val="18"/>
          <w:szCs w:val="20"/>
        </w:rPr>
        <w:t xml:space="preserve">, </w:t>
      </w:r>
      <w:r w:rsidRPr="00CC1F81">
        <w:rPr>
          <w:rFonts w:ascii="Times New Roman" w:eastAsia="新細明體" w:hAnsi="Times New Roman" w:cs="Times New Roman"/>
          <w:sz w:val="18"/>
          <w:szCs w:val="20"/>
        </w:rPr>
        <w:t>2018</w:t>
      </w:r>
      <w:r w:rsidRPr="00CC1F81">
        <w:rPr>
          <w:rFonts w:ascii="Times New Roman" w:eastAsia="新細明體" w:hAnsi="Times New Roman" w:cs="Times New Roman" w:hint="eastAsia"/>
          <w:sz w:val="18"/>
          <w:szCs w:val="20"/>
        </w:rPr>
        <w:t>.</w:t>
      </w:r>
    </w:p>
    <w:p w:rsidR="002B5992" w:rsidRPr="00CC1F81" w:rsidRDefault="002B5992" w:rsidP="002B5992">
      <w:pPr>
        <w:widowControl w:val="0"/>
        <w:spacing w:line="206" w:lineRule="exact"/>
        <w:ind w:right="144"/>
        <w:rPr>
          <w:rFonts w:ascii="Times New Roman" w:eastAsia="新細明體" w:hAnsi="Times New Roman" w:cs="Times New Roman"/>
          <w:sz w:val="18"/>
          <w:szCs w:val="20"/>
        </w:rPr>
      </w:pPr>
      <w:r w:rsidRPr="00CC1F81">
        <w:rPr>
          <w:rFonts w:ascii="Times New Roman" w:eastAsia="新細明體" w:hAnsi="Times New Roman" w:cs="Times New Roman"/>
          <w:sz w:val="18"/>
          <w:szCs w:val="20"/>
        </w:rPr>
        <w:t xml:space="preserve">Amended and </w:t>
      </w:r>
      <w:r w:rsidRPr="00CC1F81">
        <w:rPr>
          <w:rFonts w:ascii="Times New Roman" w:eastAsia="新細明體" w:hAnsi="Times New Roman" w:cs="Times New Roman" w:hint="eastAsia"/>
          <w:sz w:val="18"/>
          <w:szCs w:val="20"/>
        </w:rPr>
        <w:t xml:space="preserve">Approved by the </w:t>
      </w:r>
      <w:r w:rsidRPr="00CC1F81">
        <w:rPr>
          <w:rFonts w:ascii="Times New Roman" w:eastAsia="新細明體" w:hAnsi="Times New Roman" w:cs="Times New Roman"/>
          <w:sz w:val="18"/>
          <w:szCs w:val="20"/>
        </w:rPr>
        <w:t>4</w:t>
      </w:r>
      <w:r w:rsidRPr="00CC1F81">
        <w:rPr>
          <w:rFonts w:ascii="Times New Roman" w:eastAsia="新細明體" w:hAnsi="Times New Roman" w:cs="Times New Roman"/>
          <w:sz w:val="18"/>
          <w:szCs w:val="20"/>
          <w:vertAlign w:val="superscript"/>
        </w:rPr>
        <w:t>th</w:t>
      </w:r>
      <w:r w:rsidRPr="00CC1F81">
        <w:rPr>
          <w:rFonts w:ascii="Times New Roman" w:eastAsia="新細明體" w:hAnsi="Times New Roman" w:cs="Times New Roman"/>
          <w:sz w:val="18"/>
          <w:szCs w:val="20"/>
        </w:rPr>
        <w:t xml:space="preserve"> </w:t>
      </w:r>
      <w:r w:rsidRPr="00CC1F81">
        <w:rPr>
          <w:rFonts w:ascii="Times New Roman" w:eastAsia="新細明體" w:hAnsi="Times New Roman" w:cs="Times New Roman" w:hint="eastAsia"/>
          <w:sz w:val="18"/>
          <w:szCs w:val="20"/>
        </w:rPr>
        <w:t xml:space="preserve">College General Meeting on </w:t>
      </w:r>
      <w:r w:rsidRPr="00CC1F81">
        <w:rPr>
          <w:rFonts w:ascii="Times New Roman" w:eastAsia="新細明體" w:hAnsi="Times New Roman" w:cs="Times New Roman"/>
          <w:sz w:val="18"/>
          <w:szCs w:val="20"/>
        </w:rPr>
        <w:t>June 107</w:t>
      </w:r>
      <w:r w:rsidRPr="00CC1F81">
        <w:rPr>
          <w:rFonts w:ascii="Times New Roman" w:eastAsia="新細明體" w:hAnsi="Times New Roman" w:cs="Times New Roman" w:hint="eastAsia"/>
          <w:sz w:val="18"/>
          <w:szCs w:val="20"/>
        </w:rPr>
        <w:t xml:space="preserve">, </w:t>
      </w:r>
      <w:r w:rsidRPr="00CC1F81">
        <w:rPr>
          <w:rFonts w:ascii="Times New Roman" w:eastAsia="新細明體" w:hAnsi="Times New Roman" w:cs="Times New Roman"/>
          <w:sz w:val="18"/>
          <w:szCs w:val="20"/>
        </w:rPr>
        <w:t>2019</w:t>
      </w:r>
      <w:r w:rsidRPr="00CC1F81">
        <w:rPr>
          <w:rFonts w:ascii="Times New Roman" w:eastAsia="新細明體" w:hAnsi="Times New Roman" w:cs="Times New Roman" w:hint="eastAsia"/>
          <w:sz w:val="18"/>
          <w:szCs w:val="20"/>
        </w:rPr>
        <w:t xml:space="preserve">, School Year </w:t>
      </w:r>
      <w:r w:rsidRPr="00CC1F81">
        <w:rPr>
          <w:rFonts w:ascii="Times New Roman" w:eastAsia="新細明體" w:hAnsi="Times New Roman" w:cs="Times New Roman"/>
          <w:sz w:val="18"/>
          <w:szCs w:val="20"/>
        </w:rPr>
        <w:t>107</w:t>
      </w:r>
      <w:r w:rsidRPr="00CC1F81">
        <w:rPr>
          <w:rFonts w:ascii="Times New Roman" w:eastAsia="新細明體" w:hAnsi="Times New Roman" w:cs="Times New Roman" w:hint="eastAsia"/>
          <w:sz w:val="18"/>
          <w:szCs w:val="20"/>
        </w:rPr>
        <w:t>.</w:t>
      </w:r>
    </w:p>
    <w:p w:rsidR="002B5992" w:rsidRPr="00CC1F81" w:rsidRDefault="002B5992" w:rsidP="002B5992">
      <w:pPr>
        <w:widowControl w:val="0"/>
        <w:spacing w:line="206" w:lineRule="exact"/>
        <w:ind w:right="144"/>
        <w:rPr>
          <w:rFonts w:ascii="Times New Roman" w:eastAsia="新細明體" w:hAnsi="Times New Roman" w:cs="Times New Roman"/>
          <w:sz w:val="18"/>
          <w:szCs w:val="20"/>
        </w:rPr>
      </w:pPr>
      <w:r w:rsidRPr="00CC1F81">
        <w:rPr>
          <w:rFonts w:ascii="Times New Roman" w:eastAsia="新細明體" w:hAnsi="Times New Roman" w:cs="Times New Roman"/>
          <w:sz w:val="18"/>
          <w:szCs w:val="20"/>
        </w:rPr>
        <w:t xml:space="preserve">Amended and </w:t>
      </w:r>
      <w:r w:rsidRPr="00CC1F81">
        <w:rPr>
          <w:rFonts w:ascii="Times New Roman" w:eastAsia="新細明體" w:hAnsi="Times New Roman" w:cs="Times New Roman" w:hint="eastAsia"/>
          <w:sz w:val="18"/>
          <w:szCs w:val="20"/>
        </w:rPr>
        <w:t>Approved by the 3</w:t>
      </w:r>
      <w:r w:rsidRPr="00CC1F81">
        <w:rPr>
          <w:rFonts w:ascii="Times New Roman" w:eastAsia="新細明體" w:hAnsi="Times New Roman" w:cs="Times New Roman"/>
          <w:sz w:val="18"/>
          <w:szCs w:val="20"/>
        </w:rPr>
        <w:t>94</w:t>
      </w:r>
      <w:r w:rsidRPr="00CC1F81">
        <w:rPr>
          <w:rFonts w:ascii="Times New Roman" w:eastAsia="新細明體" w:hAnsi="Times New Roman" w:cs="Times New Roman"/>
          <w:sz w:val="18"/>
          <w:szCs w:val="20"/>
          <w:vertAlign w:val="superscript"/>
        </w:rPr>
        <w:t>th</w:t>
      </w:r>
      <w:r w:rsidRPr="00CC1F81">
        <w:rPr>
          <w:rFonts w:ascii="Times New Roman" w:eastAsia="新細明體" w:hAnsi="Times New Roman" w:cs="Times New Roman"/>
          <w:sz w:val="18"/>
          <w:szCs w:val="20"/>
        </w:rPr>
        <w:t xml:space="preserve"> University Faculty Evaluation Committee Meeting</w:t>
      </w:r>
      <w:r w:rsidRPr="00CC1F81">
        <w:rPr>
          <w:rFonts w:ascii="Times New Roman" w:eastAsia="新細明體" w:hAnsi="Times New Roman" w:cs="Times New Roman" w:hint="eastAsia"/>
          <w:sz w:val="18"/>
          <w:szCs w:val="20"/>
        </w:rPr>
        <w:t xml:space="preserve"> on </w:t>
      </w:r>
      <w:r w:rsidRPr="00CC1F81">
        <w:rPr>
          <w:rFonts w:ascii="Times New Roman" w:eastAsia="新細明體" w:hAnsi="Times New Roman" w:cs="Times New Roman"/>
          <w:sz w:val="18"/>
          <w:szCs w:val="20"/>
        </w:rPr>
        <w:t xml:space="preserve">June </w:t>
      </w:r>
      <w:r w:rsidR="00F04F6F">
        <w:rPr>
          <w:rFonts w:ascii="Times New Roman" w:eastAsia="新細明體" w:hAnsi="Times New Roman" w:cs="Times New Roman"/>
          <w:sz w:val="18"/>
          <w:szCs w:val="20"/>
        </w:rPr>
        <w:t>13</w:t>
      </w:r>
      <w:r w:rsidRPr="00CC1F81">
        <w:rPr>
          <w:rFonts w:ascii="Times New Roman" w:eastAsia="新細明體" w:hAnsi="Times New Roman" w:cs="Times New Roman" w:hint="eastAsia"/>
          <w:sz w:val="18"/>
          <w:szCs w:val="20"/>
        </w:rPr>
        <w:t xml:space="preserve">, </w:t>
      </w:r>
      <w:r w:rsidRPr="00CC1F81">
        <w:rPr>
          <w:rFonts w:ascii="Times New Roman" w:eastAsia="新細明體" w:hAnsi="Times New Roman" w:cs="Times New Roman"/>
          <w:sz w:val="18"/>
          <w:szCs w:val="20"/>
        </w:rPr>
        <w:t>201</w:t>
      </w:r>
      <w:r w:rsidR="003C56E1">
        <w:rPr>
          <w:rFonts w:ascii="Times New Roman" w:eastAsia="新細明體" w:hAnsi="Times New Roman" w:cs="Times New Roman"/>
          <w:sz w:val="18"/>
          <w:szCs w:val="20"/>
        </w:rPr>
        <w:t>9</w:t>
      </w:r>
      <w:r w:rsidRPr="00CC1F81">
        <w:rPr>
          <w:rFonts w:ascii="Times New Roman" w:eastAsia="新細明體" w:hAnsi="Times New Roman" w:cs="Times New Roman" w:hint="eastAsia"/>
          <w:sz w:val="18"/>
          <w:szCs w:val="20"/>
        </w:rPr>
        <w:t>.</w:t>
      </w:r>
    </w:p>
    <w:p w:rsidR="00DF1595" w:rsidRPr="00AD2620" w:rsidRDefault="001A25C8" w:rsidP="003567E7">
      <w:pPr>
        <w:pStyle w:val="ARTICLE"/>
        <w:spacing w:before="240"/>
        <w:ind w:left="567" w:hanging="207"/>
      </w:pPr>
      <w:r w:rsidRPr="00AD2620">
        <w:t>College of Marine Sciences (hereafter referred to as “the Colle</w:t>
      </w:r>
      <w:r w:rsidRPr="00AD2620">
        <w:rPr>
          <w:rStyle w:val="ARTICLEChar"/>
        </w:rPr>
        <w:t xml:space="preserve">ge”) has </w:t>
      </w:r>
      <w:r w:rsidR="00EA2758" w:rsidRPr="00AD2620">
        <w:rPr>
          <w:rStyle w:val="ARTICLEChar"/>
        </w:rPr>
        <w:t>issued</w:t>
      </w:r>
      <w:r w:rsidRPr="00AD2620">
        <w:rPr>
          <w:rStyle w:val="ARTICLEChar"/>
        </w:rPr>
        <w:t xml:space="preserve"> the</w:t>
      </w:r>
      <w:r w:rsidR="00EA2758" w:rsidRPr="00AD2620">
        <w:rPr>
          <w:rStyle w:val="ARTICLEChar"/>
        </w:rPr>
        <w:t xml:space="preserve"> “Regulations for </w:t>
      </w:r>
      <w:r w:rsidR="00D47431" w:rsidRPr="00AD2620">
        <w:rPr>
          <w:rStyle w:val="ARTICLEChar"/>
        </w:rPr>
        <w:t xml:space="preserve">Faculty Promotion </w:t>
      </w:r>
      <w:r w:rsidR="00EA2758" w:rsidRPr="00AD2620">
        <w:rPr>
          <w:rStyle w:val="ARTICLEChar"/>
        </w:rPr>
        <w:t>Evaluation”</w:t>
      </w:r>
      <w:r w:rsidRPr="00AD2620">
        <w:rPr>
          <w:rStyle w:val="ARTICLEChar"/>
        </w:rPr>
        <w:t xml:space="preserve"> (hereafter referred to as</w:t>
      </w:r>
      <w:r w:rsidR="006E72FB" w:rsidRPr="00AD2620">
        <w:t xml:space="preserve"> “the </w:t>
      </w:r>
      <w:r w:rsidR="00EA2758" w:rsidRPr="00AD2620">
        <w:t>Regulations</w:t>
      </w:r>
      <w:r w:rsidR="006E72FB" w:rsidRPr="00AD2620">
        <w:t xml:space="preserve">”) </w:t>
      </w:r>
      <w:r w:rsidR="00415F83" w:rsidRPr="00AD2620">
        <w:t>in accordance with the provisions specified in the</w:t>
      </w:r>
      <w:r w:rsidR="006E72FB" w:rsidRPr="00AD2620">
        <w:t xml:space="preserve"> </w:t>
      </w:r>
      <w:r w:rsidR="00EA2758" w:rsidRPr="00AD2620">
        <w:t>“</w:t>
      </w:r>
      <w:r w:rsidR="00EA2758" w:rsidRPr="00AD2620">
        <w:rPr>
          <w:rFonts w:eastAsia="新細明體"/>
        </w:rPr>
        <w:t>Organization Act of the National Sun Yat-sen University</w:t>
      </w:r>
      <w:r w:rsidR="006E72FB" w:rsidRPr="00AD2620">
        <w:rPr>
          <w:rFonts w:eastAsia="新細明體"/>
        </w:rPr>
        <w:t>”</w:t>
      </w:r>
      <w:r w:rsidR="00EA2758" w:rsidRPr="00AD2620">
        <w:rPr>
          <w:rFonts w:eastAsia="新細明體"/>
        </w:rPr>
        <w:t xml:space="preserve"> and “Regulations for Establishment of Faculty Evaluation Committee at National Sun Yat-sen University”</w:t>
      </w:r>
      <w:r w:rsidR="00D47431" w:rsidRPr="00AD2620">
        <w:rPr>
          <w:rFonts w:eastAsia="新細明體"/>
        </w:rPr>
        <w:t xml:space="preserve">, to ensure the </w:t>
      </w:r>
      <w:r w:rsidR="003D61BC" w:rsidRPr="00AD2620">
        <w:rPr>
          <w:rFonts w:eastAsia="新細明體"/>
        </w:rPr>
        <w:t xml:space="preserve">College and the bellowing </w:t>
      </w:r>
      <w:r w:rsidR="00D47431" w:rsidRPr="00AD2620">
        <w:rPr>
          <w:rFonts w:eastAsia="新細明體"/>
        </w:rPr>
        <w:t xml:space="preserve">departments and institutes have a common standard when </w:t>
      </w:r>
      <w:r w:rsidR="00F052EF" w:rsidRPr="00AD2620">
        <w:rPr>
          <w:rFonts w:eastAsia="新細明體"/>
        </w:rPr>
        <w:t>conduct</w:t>
      </w:r>
      <w:r w:rsidR="00D47431" w:rsidRPr="00AD2620">
        <w:rPr>
          <w:rFonts w:eastAsia="新細明體"/>
        </w:rPr>
        <w:t xml:space="preserve">ing </w:t>
      </w:r>
      <w:r w:rsidR="003D61BC" w:rsidRPr="00AD2620">
        <w:rPr>
          <w:rFonts w:eastAsia="新細明體"/>
        </w:rPr>
        <w:t>the initial review, second review and appeal</w:t>
      </w:r>
      <w:r w:rsidR="00277851" w:rsidRPr="00AD2620">
        <w:rPr>
          <w:rFonts w:eastAsia="新細明體"/>
        </w:rPr>
        <w:t xml:space="preserve"> of promotion</w:t>
      </w:r>
      <w:r w:rsidR="003D61BC" w:rsidRPr="00AD2620">
        <w:rPr>
          <w:rFonts w:eastAsia="新細明體"/>
        </w:rPr>
        <w:t>, in order to achieve fairness, justice and openness.</w:t>
      </w:r>
    </w:p>
    <w:p w:rsidR="0069616C" w:rsidRPr="00AD2620" w:rsidRDefault="00277851" w:rsidP="003567E7">
      <w:pPr>
        <w:pStyle w:val="ARTICLE"/>
        <w:spacing w:before="240"/>
        <w:ind w:left="567" w:hanging="207"/>
      </w:pPr>
      <w:r w:rsidRPr="00AD2620">
        <w:t>Faculty’s second review and appeal of promotion are handled in accordance with “</w:t>
      </w:r>
      <w:r w:rsidRPr="00AD2620">
        <w:rPr>
          <w:rFonts w:eastAsia="新細明體"/>
        </w:rPr>
        <w:t xml:space="preserve">Regulations for </w:t>
      </w:r>
      <w:r w:rsidRPr="003567E7">
        <w:t>Promotion</w:t>
      </w:r>
      <w:r w:rsidRPr="00AD2620">
        <w:rPr>
          <w:rFonts w:eastAsia="新細明體"/>
        </w:rPr>
        <w:t xml:space="preserve"> Evaluation of Faculty and Researchers at National Sun Yat-sen University”</w:t>
      </w:r>
    </w:p>
    <w:p w:rsidR="00277851" w:rsidRPr="00AD2620" w:rsidRDefault="00277851" w:rsidP="003567E7">
      <w:pPr>
        <w:pStyle w:val="ARTICLE"/>
        <w:spacing w:before="240"/>
        <w:ind w:left="567" w:hanging="207"/>
      </w:pPr>
      <w:r w:rsidRPr="00AD2620">
        <w:t xml:space="preserve">There are three evaluation criteria for promotion evaluation—academic research, teaching performances, and services. The ratio for each criterion are: </w:t>
      </w:r>
    </w:p>
    <w:p w:rsidR="00EA4D8F" w:rsidRPr="00AD2620" w:rsidRDefault="00EA4D8F" w:rsidP="003567E7">
      <w:pPr>
        <w:pStyle w:val="PARAGRAPH"/>
        <w:numPr>
          <w:ilvl w:val="1"/>
          <w:numId w:val="15"/>
        </w:numPr>
        <w:ind w:left="993" w:hanging="219"/>
      </w:pPr>
      <w:r w:rsidRPr="00AD2620">
        <w:t>Applying for promotion by specialized academic publications or technical reports: 70</w:t>
      </w:r>
      <w:r w:rsidR="004D480E" w:rsidRPr="00AD2620">
        <w:t xml:space="preserve"> points</w:t>
      </w:r>
      <w:r w:rsidRPr="00AD2620">
        <w:t xml:space="preserve"> for academic research, 20</w:t>
      </w:r>
      <w:r w:rsidR="004D480E" w:rsidRPr="00AD2620">
        <w:t xml:space="preserve"> points</w:t>
      </w:r>
      <w:r w:rsidRPr="00AD2620">
        <w:t xml:space="preserve"> for teaching performances, and 10</w:t>
      </w:r>
      <w:r w:rsidR="004D480E" w:rsidRPr="00AD2620">
        <w:t xml:space="preserve"> points</w:t>
      </w:r>
      <w:r w:rsidRPr="00AD2620">
        <w:t xml:space="preserve"> for services.</w:t>
      </w:r>
    </w:p>
    <w:p w:rsidR="00EA4D8F" w:rsidRPr="00AD2620" w:rsidRDefault="00EA4D8F" w:rsidP="003567E7">
      <w:pPr>
        <w:pStyle w:val="PARAGRAPH"/>
        <w:numPr>
          <w:ilvl w:val="1"/>
          <w:numId w:val="15"/>
        </w:numPr>
        <w:ind w:left="993" w:hanging="219"/>
      </w:pPr>
      <w:r w:rsidRPr="00AD2620">
        <w:t>Applying for promotion by written works on teaching research: 60</w:t>
      </w:r>
      <w:r w:rsidR="004D480E" w:rsidRPr="00AD2620">
        <w:t xml:space="preserve"> points</w:t>
      </w:r>
      <w:r w:rsidRPr="00AD2620">
        <w:t xml:space="preserve"> for </w:t>
      </w:r>
      <w:r w:rsidR="004D480E" w:rsidRPr="00AD2620">
        <w:t>teaching</w:t>
      </w:r>
      <w:r w:rsidRPr="00AD2620">
        <w:t xml:space="preserve"> research, 30</w:t>
      </w:r>
      <w:r w:rsidR="004D480E" w:rsidRPr="00AD2620">
        <w:t xml:space="preserve"> points</w:t>
      </w:r>
      <w:r w:rsidRPr="00AD2620">
        <w:t xml:space="preserve"> for teaching performances, and 10</w:t>
      </w:r>
      <w:r w:rsidR="004D480E" w:rsidRPr="00AD2620">
        <w:t xml:space="preserve"> points</w:t>
      </w:r>
      <w:r w:rsidRPr="00AD2620">
        <w:t xml:space="preserve"> for services. </w:t>
      </w:r>
    </w:p>
    <w:p w:rsidR="00277851" w:rsidRPr="00AD2620" w:rsidRDefault="0031722A" w:rsidP="003567E7">
      <w:pPr>
        <w:pStyle w:val="ARTICLE"/>
        <w:spacing w:before="240"/>
        <w:ind w:left="567" w:hanging="207"/>
      </w:pPr>
      <w:r w:rsidRPr="00AD2620">
        <w:t>The D</w:t>
      </w:r>
      <w:r w:rsidR="001F1547" w:rsidRPr="00AD2620">
        <w:t xml:space="preserve">epartment/Institute Faculty Evaluation Committee shall </w:t>
      </w:r>
      <w:r w:rsidR="00F052EF" w:rsidRPr="00AD2620">
        <w:t>conduct</w:t>
      </w:r>
      <w:r w:rsidR="001F1547" w:rsidRPr="00AD2620">
        <w:t xml:space="preserve"> the initial review according to the College’s “</w:t>
      </w:r>
      <w:r w:rsidR="001F1547" w:rsidRPr="00AD2620">
        <w:rPr>
          <w:rFonts w:eastAsia="新細明體"/>
        </w:rPr>
        <w:t>Common Standards of Faculty Promotion Evaluation” and “</w:t>
      </w:r>
      <w:r w:rsidR="001F1547" w:rsidRPr="003567E7">
        <w:t>Enforcement</w:t>
      </w:r>
      <w:r w:rsidR="001F1547" w:rsidRPr="00AD2620">
        <w:rPr>
          <w:rFonts w:eastAsia="新細明體"/>
        </w:rPr>
        <w:t xml:space="preserve"> Rules of Faculty Promotion Evaluations (above Assistant Professors)”</w:t>
      </w:r>
      <w:r w:rsidR="00F052EF" w:rsidRPr="00AD2620">
        <w:rPr>
          <w:rFonts w:eastAsia="新細明體"/>
        </w:rPr>
        <w:t xml:space="preserve">, </w:t>
      </w:r>
      <w:r w:rsidR="009773D1" w:rsidRPr="00AD2620">
        <w:rPr>
          <w:rFonts w:eastAsia="新細明體"/>
        </w:rPr>
        <w:t>and</w:t>
      </w:r>
      <w:r w:rsidR="00F052EF" w:rsidRPr="00AD2620">
        <w:rPr>
          <w:rFonts w:eastAsia="新細明體"/>
        </w:rPr>
        <w:t xml:space="preserve"> submit the relevant documents</w:t>
      </w:r>
      <w:r w:rsidR="009773D1" w:rsidRPr="00AD2620">
        <w:rPr>
          <w:rFonts w:eastAsia="新細明體"/>
        </w:rPr>
        <w:t xml:space="preserve"> of faculty who pass the initial review</w:t>
      </w:r>
      <w:r w:rsidR="00F052EF" w:rsidRPr="00AD2620">
        <w:rPr>
          <w:rFonts w:eastAsia="新細明體"/>
        </w:rPr>
        <w:t xml:space="preserve"> to the College Faculty Evaluation Committee for processing</w:t>
      </w:r>
      <w:r w:rsidR="009773D1" w:rsidRPr="00AD2620">
        <w:rPr>
          <w:rFonts w:eastAsia="新細明體"/>
        </w:rPr>
        <w:t>.</w:t>
      </w:r>
    </w:p>
    <w:p w:rsidR="009773D1" w:rsidRPr="00AD2620" w:rsidRDefault="009773D1" w:rsidP="003567E7">
      <w:pPr>
        <w:pStyle w:val="ARTICLE"/>
        <w:spacing w:before="240"/>
        <w:ind w:left="567" w:hanging="207"/>
      </w:pPr>
      <w:r w:rsidRPr="00AD2620">
        <w:rPr>
          <w:rFonts w:eastAsia="新細明體"/>
        </w:rPr>
        <w:t xml:space="preserve">1. </w:t>
      </w:r>
      <w:r w:rsidRPr="003567E7">
        <w:t>Initial</w:t>
      </w:r>
      <w:r w:rsidRPr="00AD2620">
        <w:rPr>
          <w:rFonts w:eastAsia="新細明體"/>
        </w:rPr>
        <w:t xml:space="preserve"> review:</w:t>
      </w:r>
    </w:p>
    <w:p w:rsidR="0031722A" w:rsidRPr="00AD2620" w:rsidRDefault="008A1FD3" w:rsidP="003567E7">
      <w:pPr>
        <w:pStyle w:val="PARAGRAPH"/>
        <w:numPr>
          <w:ilvl w:val="0"/>
          <w:numId w:val="18"/>
        </w:numPr>
        <w:ind w:left="1276"/>
      </w:pPr>
      <w:r w:rsidRPr="00AD2620">
        <w:rPr>
          <w:rFonts w:eastAsia="新細明體"/>
        </w:rPr>
        <w:t xml:space="preserve">The </w:t>
      </w:r>
      <w:r w:rsidR="0031722A" w:rsidRPr="00AD2620">
        <w:rPr>
          <w:rFonts w:eastAsia="新細明體" w:hint="eastAsia"/>
        </w:rPr>
        <w:t>D</w:t>
      </w:r>
      <w:r w:rsidR="0031722A" w:rsidRPr="00AD2620">
        <w:rPr>
          <w:rFonts w:eastAsia="新細明體"/>
        </w:rPr>
        <w:t>epartment/Institute Faculty Evaluation Committee shall conduct the initial review according to the Regulations.</w:t>
      </w:r>
    </w:p>
    <w:p w:rsidR="008A1FD3" w:rsidRPr="00AD2620" w:rsidRDefault="003624F2" w:rsidP="003567E7">
      <w:pPr>
        <w:pStyle w:val="PARAGRAPH"/>
        <w:numPr>
          <w:ilvl w:val="0"/>
          <w:numId w:val="18"/>
        </w:numPr>
        <w:ind w:left="1276"/>
      </w:pPr>
      <w:r w:rsidRPr="00AD2620">
        <w:rPr>
          <w:rFonts w:eastAsia="新細明體"/>
        </w:rPr>
        <w:t>When the Department/Institute Faculty Evaluation Committee</w:t>
      </w:r>
      <w:r w:rsidR="008E3D18" w:rsidRPr="00AD2620">
        <w:rPr>
          <w:rFonts w:eastAsia="新細明體"/>
        </w:rPr>
        <w:t xml:space="preserve"> conducts the initial review, the publications or works of the faculty to be promoted shall</w:t>
      </w:r>
      <w:r w:rsidR="000A3762" w:rsidRPr="00AD2620">
        <w:rPr>
          <w:rFonts w:eastAsia="新細明體"/>
        </w:rPr>
        <w:t xml:space="preserve"> first be submitted to the </w:t>
      </w:r>
      <w:r w:rsidR="00D22A36">
        <w:rPr>
          <w:rFonts w:eastAsia="新細明體"/>
        </w:rPr>
        <w:t>D</w:t>
      </w:r>
      <w:r w:rsidR="000A3762" w:rsidRPr="00AD2620">
        <w:rPr>
          <w:rFonts w:eastAsia="新細明體"/>
        </w:rPr>
        <w:t>ean to hire three qualified scholars and experts from outside the University for review.</w:t>
      </w:r>
      <w:r w:rsidR="00363621" w:rsidRPr="00AD2620">
        <w:t xml:space="preserve"> </w:t>
      </w:r>
      <w:r w:rsidR="00363621" w:rsidRPr="00AD2620">
        <w:rPr>
          <w:rFonts w:eastAsia="新細明體"/>
        </w:rPr>
        <w:lastRenderedPageBreak/>
        <w:t xml:space="preserve">The Department/Institute Faculty Evaluation Committee shall propose more than seven scholars and experts with sufficient professional ability outside the University (the </w:t>
      </w:r>
      <w:r w:rsidR="00D22A36">
        <w:rPr>
          <w:rFonts w:eastAsia="新細明體"/>
        </w:rPr>
        <w:t>D</w:t>
      </w:r>
      <w:r w:rsidR="00363621" w:rsidRPr="00AD2620">
        <w:rPr>
          <w:rFonts w:eastAsia="新細明體"/>
        </w:rPr>
        <w:t xml:space="preserve">ean may also add additional review candidates) for review. The </w:t>
      </w:r>
      <w:r w:rsidR="00D22A36">
        <w:rPr>
          <w:rFonts w:eastAsia="新細明體"/>
        </w:rPr>
        <w:t>D</w:t>
      </w:r>
      <w:r w:rsidR="00363621" w:rsidRPr="00AD2620">
        <w:rPr>
          <w:rFonts w:eastAsia="新細明體"/>
        </w:rPr>
        <w:t xml:space="preserve">ean and one </w:t>
      </w:r>
      <w:r w:rsidR="00505160" w:rsidRPr="00AD2620">
        <w:rPr>
          <w:rFonts w:eastAsia="新細明體" w:hint="eastAsia"/>
        </w:rPr>
        <w:t>to</w:t>
      </w:r>
      <w:r w:rsidR="00363621" w:rsidRPr="00AD2620">
        <w:rPr>
          <w:rFonts w:eastAsia="新細明體"/>
        </w:rPr>
        <w:t xml:space="preserve"> two committee members recommended by the College Faculty Evaluation Committee shall select reviewers. After the three reviewers have been identified, the external review of the works will be conducted by the College, and the results of external review will be sent back to the Department/Institute Faculty Evaluation Committee for initial review.</w:t>
      </w:r>
    </w:p>
    <w:p w:rsidR="00505160" w:rsidRPr="00AD2620" w:rsidRDefault="00505160" w:rsidP="003567E7">
      <w:pPr>
        <w:pStyle w:val="PARAGRAPH"/>
        <w:numPr>
          <w:ilvl w:val="0"/>
          <w:numId w:val="18"/>
        </w:numPr>
        <w:ind w:left="1276"/>
      </w:pPr>
      <w:r w:rsidRPr="00AD2620">
        <w:rPr>
          <w:rFonts w:eastAsia="新細明體" w:hint="eastAsia"/>
        </w:rPr>
        <w:t>T</w:t>
      </w:r>
      <w:r w:rsidRPr="00AD2620">
        <w:rPr>
          <w:rFonts w:eastAsia="新細明體"/>
        </w:rPr>
        <w:t>he promotion</w:t>
      </w:r>
      <w:r w:rsidR="004C714C" w:rsidRPr="00AD2620">
        <w:rPr>
          <w:rFonts w:eastAsia="新細明體"/>
        </w:rPr>
        <w:t xml:space="preserve"> case approved by the initial review of the Department/Institute Faculty Evaluation Committee, </w:t>
      </w:r>
      <w:r w:rsidR="00961527" w:rsidRPr="00AD2620">
        <w:rPr>
          <w:rFonts w:eastAsia="新細明體"/>
        </w:rPr>
        <w:t xml:space="preserve">the convener </w:t>
      </w:r>
      <w:r w:rsidR="004C714C" w:rsidRPr="00AD2620">
        <w:rPr>
          <w:rFonts w:eastAsia="新細明體"/>
        </w:rPr>
        <w:t xml:space="preserve">shall </w:t>
      </w:r>
      <w:r w:rsidR="00961527" w:rsidRPr="00AD2620">
        <w:rPr>
          <w:rFonts w:eastAsia="新細明體"/>
        </w:rPr>
        <w:t>add</w:t>
      </w:r>
      <w:r w:rsidR="004C714C" w:rsidRPr="00AD2620">
        <w:rPr>
          <w:rFonts w:eastAsia="新細明體"/>
        </w:rPr>
        <w:t xml:space="preserve"> comment</w:t>
      </w:r>
      <w:r w:rsidR="00961527" w:rsidRPr="00AD2620">
        <w:rPr>
          <w:rFonts w:eastAsia="新細明體"/>
        </w:rPr>
        <w:t>s</w:t>
      </w:r>
      <w:r w:rsidR="004C714C" w:rsidRPr="00AD2620">
        <w:rPr>
          <w:rFonts w:eastAsia="新細明體"/>
        </w:rPr>
        <w:t>, together with evaluation results and meeting minutes, and submit to the College Faculty Evaluation Committee for second review.</w:t>
      </w:r>
    </w:p>
    <w:p w:rsidR="004C714C" w:rsidRPr="003567E7" w:rsidRDefault="004C714C" w:rsidP="003567E7">
      <w:pPr>
        <w:pStyle w:val="ARTICLE"/>
        <w:numPr>
          <w:ilvl w:val="0"/>
          <w:numId w:val="0"/>
        </w:numPr>
        <w:spacing w:before="240"/>
        <w:ind w:left="567"/>
      </w:pPr>
      <w:r w:rsidRPr="003567E7">
        <w:rPr>
          <w:rFonts w:hint="eastAsia"/>
        </w:rPr>
        <w:t>2</w:t>
      </w:r>
      <w:r w:rsidRPr="003567E7">
        <w:t>. Second review:</w:t>
      </w:r>
    </w:p>
    <w:p w:rsidR="004C714C" w:rsidRPr="00AD2620" w:rsidRDefault="004C714C" w:rsidP="003567E7">
      <w:pPr>
        <w:pStyle w:val="PARAGRAPH"/>
        <w:numPr>
          <w:ilvl w:val="0"/>
          <w:numId w:val="22"/>
        </w:numPr>
        <w:ind w:left="1276"/>
      </w:pPr>
      <w:r w:rsidRPr="00AD2620">
        <w:rPr>
          <w:rFonts w:eastAsia="新細明體"/>
        </w:rPr>
        <w:t xml:space="preserve">The College Faculty Evaluation Committee shall conduct the </w:t>
      </w:r>
      <w:r w:rsidR="00F40EDF" w:rsidRPr="00AD2620">
        <w:rPr>
          <w:rFonts w:eastAsia="新細明體" w:hint="eastAsia"/>
        </w:rPr>
        <w:t>second</w:t>
      </w:r>
      <w:r w:rsidRPr="00AD2620">
        <w:rPr>
          <w:rFonts w:eastAsia="新細明體"/>
        </w:rPr>
        <w:t xml:space="preserve"> review according to the Regulations.</w:t>
      </w:r>
    </w:p>
    <w:p w:rsidR="00F40EDF" w:rsidRPr="00AD2620" w:rsidRDefault="00054CD3" w:rsidP="003567E7">
      <w:pPr>
        <w:pStyle w:val="PARAGRAPH"/>
        <w:numPr>
          <w:ilvl w:val="0"/>
          <w:numId w:val="22"/>
        </w:numPr>
        <w:ind w:left="1276"/>
      </w:pPr>
      <w:r w:rsidRPr="00AD2620">
        <w:t xml:space="preserve">When </w:t>
      </w:r>
      <w:r w:rsidRPr="00AD2620">
        <w:rPr>
          <w:rFonts w:eastAsia="新細明體"/>
        </w:rPr>
        <w:t>the</w:t>
      </w:r>
      <w:r w:rsidRPr="00AD2620">
        <w:t xml:space="preserve"> College Faculty Evaluation Committee conducts the second review, the publications or works approved by the initial review of the faculty to be promoted shall be review</w:t>
      </w:r>
      <w:r w:rsidR="00961527" w:rsidRPr="00AD2620">
        <w:rPr>
          <w:rFonts w:hint="eastAsia"/>
        </w:rPr>
        <w:t>e</w:t>
      </w:r>
      <w:r w:rsidRPr="00AD2620">
        <w:t xml:space="preserve">d by three to five qualified scholars and experts from outside the University. The </w:t>
      </w:r>
      <w:r w:rsidR="00D22A36">
        <w:t>D</w:t>
      </w:r>
      <w:r w:rsidRPr="00AD2620">
        <w:t>ean and one to two committee members recommended by the College Faculty Evaluation Committee shall propose more than seven scholars and experts with sufficient professional ability outside the University. After the Senior Vice President requests the President to select reviewers, the external review of the works will be conducted by the College, and the results of external review will be sent back to the College Faculty Evaluation Committee for second review.</w:t>
      </w:r>
    </w:p>
    <w:p w:rsidR="00961527" w:rsidRPr="00AD2620" w:rsidRDefault="00961527" w:rsidP="003567E7">
      <w:pPr>
        <w:pStyle w:val="PARAGRAPH"/>
        <w:numPr>
          <w:ilvl w:val="0"/>
          <w:numId w:val="22"/>
        </w:numPr>
        <w:ind w:left="1276"/>
      </w:pPr>
      <w:r w:rsidRPr="00AD2620">
        <w:t>The promotion case approved by the second review of the College Faculty Evaluation Committee, the convener shall add comments on teaching, services, or other matters, together with evaluation results, various forms, meeting minutes and publications, and submit to the University Faculty Evaluation Committee for final review.</w:t>
      </w:r>
    </w:p>
    <w:p w:rsidR="00862D47" w:rsidRPr="00AD2620" w:rsidRDefault="00862D47" w:rsidP="003567E7">
      <w:pPr>
        <w:pStyle w:val="PARAGRAPH"/>
        <w:numPr>
          <w:ilvl w:val="0"/>
          <w:numId w:val="22"/>
        </w:numPr>
        <w:ind w:left="1276"/>
      </w:pPr>
      <w:r w:rsidRPr="00AD2620">
        <w:t xml:space="preserve">The College Faculty Evaluation Committee can be held when more than two-thirds of the members are present. The </w:t>
      </w:r>
      <w:r w:rsidR="00D22A36">
        <w:t>D</w:t>
      </w:r>
      <w:r w:rsidRPr="00AD2620">
        <w:t>ean is the chairman of the meeting, and the convener of the Department/Institute Faculty Evaluation Committee may be invited to the meeting for explanation, and shall leave the meeting after explanation.</w:t>
      </w:r>
    </w:p>
    <w:p w:rsidR="000E4B2C" w:rsidRPr="00AD2620" w:rsidRDefault="000E4B2C" w:rsidP="003567E7">
      <w:pPr>
        <w:pStyle w:val="PARAGRAPH"/>
        <w:numPr>
          <w:ilvl w:val="0"/>
          <w:numId w:val="22"/>
        </w:numPr>
        <w:ind w:left="1276"/>
      </w:pPr>
      <w:r w:rsidRPr="00AD2620">
        <w:t>According to the performances of research, teaching, service</w:t>
      </w:r>
      <w:r w:rsidR="009C4DEF" w:rsidRPr="00AD2620">
        <w:t>s</w:t>
      </w:r>
      <w:r w:rsidRPr="00AD2620">
        <w:t xml:space="preserve"> and the results of external review of the applicant, </w:t>
      </w:r>
      <w:r w:rsidR="009C4DEF" w:rsidRPr="00AD2620">
        <w:t xml:space="preserve">the College Faculty Evaluation Committee will discuss and vote by secret ballot. </w:t>
      </w:r>
      <w:r w:rsidR="00C16064" w:rsidRPr="00AD2620">
        <w:t>Applicant</w:t>
      </w:r>
      <w:r w:rsidR="009C4DEF" w:rsidRPr="00AD2620">
        <w:t xml:space="preserve"> who ha</w:t>
      </w:r>
      <w:r w:rsidR="00C16064" w:rsidRPr="00AD2620">
        <w:t>s</w:t>
      </w:r>
      <w:r w:rsidR="009C4DEF" w:rsidRPr="00AD2620">
        <w:t xml:space="preserve"> been agreed by more than two-thirds of the number of attendees will be approved and submit to the University Faculty Evaluation Committee.</w:t>
      </w:r>
    </w:p>
    <w:p w:rsidR="00C16064" w:rsidRPr="00AD2620" w:rsidRDefault="00C16064" w:rsidP="003567E7">
      <w:pPr>
        <w:pStyle w:val="PARAGRAPH"/>
        <w:numPr>
          <w:ilvl w:val="0"/>
          <w:numId w:val="22"/>
        </w:numPr>
        <w:ind w:left="1276"/>
      </w:pPr>
      <w:r w:rsidRPr="00AD2620">
        <w:rPr>
          <w:rFonts w:eastAsia="新細明體" w:hint="eastAsia"/>
        </w:rPr>
        <w:t xml:space="preserve">During </w:t>
      </w:r>
      <w:r w:rsidRPr="00AD2620">
        <w:rPr>
          <w:rFonts w:eastAsia="新細明體"/>
        </w:rPr>
        <w:t xml:space="preserve">the second review by College </w:t>
      </w:r>
      <w:r w:rsidRPr="00AD2620">
        <w:t xml:space="preserve">Faculty Evaluation Committee, </w:t>
      </w:r>
      <w:r w:rsidR="00570951" w:rsidRPr="00AD2620">
        <w:t xml:space="preserve">the committee members shall fully discuss the research, teaching and service performances of the applicant before voting. If the voting result does not pass, the Committee shall </w:t>
      </w:r>
      <w:r w:rsidR="007E7717" w:rsidRPr="00AD2620">
        <w:rPr>
          <w:rFonts w:eastAsia="新細明體"/>
        </w:rPr>
        <w:t xml:space="preserve">sort out the external review comments, and hand over to </w:t>
      </w:r>
      <w:r w:rsidR="007E7717" w:rsidRPr="00AD2620">
        <w:rPr>
          <w:rFonts w:eastAsia="新細明體" w:hint="eastAsia"/>
        </w:rPr>
        <w:t xml:space="preserve">the </w:t>
      </w:r>
      <w:r w:rsidR="00F04F6F">
        <w:rPr>
          <w:rFonts w:eastAsia="新細明體"/>
        </w:rPr>
        <w:t>d</w:t>
      </w:r>
      <w:r w:rsidR="007E7717" w:rsidRPr="00AD2620">
        <w:rPr>
          <w:rFonts w:eastAsia="新細明體" w:hint="eastAsia"/>
        </w:rPr>
        <w:t>epartment/</w:t>
      </w:r>
      <w:r w:rsidR="00F04F6F">
        <w:rPr>
          <w:rFonts w:eastAsia="新細明體"/>
        </w:rPr>
        <w:t>i</w:t>
      </w:r>
      <w:r w:rsidR="007E7717" w:rsidRPr="00AD2620">
        <w:rPr>
          <w:rFonts w:eastAsia="新細明體" w:hint="eastAsia"/>
        </w:rPr>
        <w:t>nstitute</w:t>
      </w:r>
      <w:r w:rsidR="007E7717" w:rsidRPr="00AD2620">
        <w:rPr>
          <w:rFonts w:eastAsia="新細明體"/>
        </w:rPr>
        <w:t xml:space="preserve"> to inform applicant.</w:t>
      </w:r>
    </w:p>
    <w:p w:rsidR="007E7717" w:rsidRPr="00CE251E" w:rsidRDefault="007E7717" w:rsidP="003567E7">
      <w:pPr>
        <w:pStyle w:val="ARTICLE"/>
        <w:spacing w:before="240"/>
        <w:ind w:left="567" w:hanging="207"/>
      </w:pPr>
      <w:r>
        <w:rPr>
          <w:rFonts w:eastAsia="新細明體" w:hint="eastAsia"/>
        </w:rPr>
        <w:t>A</w:t>
      </w:r>
      <w:r>
        <w:rPr>
          <w:rFonts w:eastAsia="新細明體"/>
        </w:rPr>
        <w:t xml:space="preserve">pplicant who disagree with the decision of the </w:t>
      </w:r>
      <w:r w:rsidR="00CE251E">
        <w:rPr>
          <w:rFonts w:eastAsia="新細明體"/>
        </w:rPr>
        <w:t>Faculty Evaluation Committee, may raise the objection according to the “Regulations for Promotion Evaluation of Faculty and Researches at National Sun Yat-sen University”.</w:t>
      </w:r>
    </w:p>
    <w:p w:rsidR="00CE251E" w:rsidRDefault="00CE251E" w:rsidP="003567E7">
      <w:pPr>
        <w:pStyle w:val="ARTICLE"/>
        <w:spacing w:before="240"/>
        <w:ind w:left="567" w:hanging="207"/>
      </w:pPr>
      <w:r>
        <w:t>Lecturers and teaching assistants who were appointed before March 19</w:t>
      </w:r>
      <w:r w:rsidRPr="00CE251E">
        <w:rPr>
          <w:vertAlign w:val="superscript"/>
        </w:rPr>
        <w:t>th</w:t>
      </w:r>
      <w:r>
        <w:t>,1997 shall follow the procedure and conditions stipulated below in applying for promotion of professorship rank:</w:t>
      </w:r>
    </w:p>
    <w:p w:rsidR="00CE251E" w:rsidRDefault="00CE251E" w:rsidP="003567E7">
      <w:pPr>
        <w:pStyle w:val="PARAGRAPH"/>
        <w:numPr>
          <w:ilvl w:val="0"/>
          <w:numId w:val="31"/>
        </w:numPr>
        <w:ind w:leftChars="354" w:left="992" w:hangingChars="59" w:hanging="142"/>
      </w:pPr>
      <w:r>
        <w:lastRenderedPageBreak/>
        <w:t xml:space="preserve">The incumbent teaching personnel who have obtained the Lecturer Certificate or Teaching </w:t>
      </w:r>
      <w:r w:rsidRPr="0086274A">
        <w:t xml:space="preserve">Assistant </w:t>
      </w:r>
      <w:r>
        <w:t>Certificate issued by the Ministry of Education before the amendments to the "Act Governing the Appointment of Educators" (hereinafter referred to as “Act”), and have been teaching continuously without interruption, may apply for promotion of professorship rank in accordance with the provisions before the amendments to the Act. Article 29 of the “University Act” shall not apply to the said teaching personnel.</w:t>
      </w:r>
    </w:p>
    <w:p w:rsidR="00CE251E" w:rsidRDefault="00CE251E" w:rsidP="003567E7">
      <w:pPr>
        <w:pStyle w:val="PARAGRAPH"/>
        <w:numPr>
          <w:ilvl w:val="0"/>
          <w:numId w:val="31"/>
        </w:numPr>
        <w:ind w:leftChars="354" w:left="992" w:hangingChars="59" w:hanging="142"/>
      </w:pPr>
      <w:r>
        <w:t xml:space="preserve">Lecturers (those who have obtained the Lecturer Certificate before the amendments to the Act) who apply for promotion after receiving a Ph.D. degree shall, besides for the degree to meet acknowledged standards, follow the </w:t>
      </w:r>
      <w:r w:rsidR="00A42418">
        <w:t>R</w:t>
      </w:r>
      <w:bookmarkStart w:id="0" w:name="_GoBack"/>
      <w:bookmarkEnd w:id="0"/>
      <w:r>
        <w:t xml:space="preserve">egulations concerning the promotion of associate professor (after the amendments to the Act) by submitting their Ph.D. dissertation and other publications for evaluation (including external review). Applicants who fail to pass the evaluation shall be appointed as assistant professors of the old pay grade system. In cases when the pay grade of the said appointed assistant professor is lower than the lowest grade of an assistant </w:t>
      </w:r>
      <w:r w:rsidR="004D749D">
        <w:t>professor of the new pay grade system,</w:t>
      </w:r>
      <w:r>
        <w:t xml:space="preserve"> their pay grade shall start from the lowest grade of an assistant</w:t>
      </w:r>
      <w:r w:rsidR="004D749D">
        <w:t xml:space="preserve"> professor</w:t>
      </w:r>
      <w:r>
        <w:t>.</w:t>
      </w:r>
    </w:p>
    <w:p w:rsidR="004D749D" w:rsidRPr="004D749D" w:rsidRDefault="004D749D" w:rsidP="003567E7">
      <w:pPr>
        <w:pStyle w:val="PARAGRAPH"/>
        <w:numPr>
          <w:ilvl w:val="0"/>
          <w:numId w:val="31"/>
        </w:numPr>
        <w:ind w:leftChars="354" w:left="992" w:hangingChars="59" w:hanging="142"/>
      </w:pPr>
      <w:r>
        <w:t xml:space="preserve">Promotion for teaching assistants (those who have obtained the Teaching Assistant Certificate before the amendments to the Act) shall be implemented according to the “Regulations for Teaching Assistant Promotion at </w:t>
      </w:r>
      <w:r w:rsidRPr="004D749D">
        <w:t>National Sun Yat-sen University”.</w:t>
      </w:r>
    </w:p>
    <w:p w:rsidR="00CE251E" w:rsidRDefault="004D749D" w:rsidP="003567E7">
      <w:pPr>
        <w:pStyle w:val="PARAGRAPH"/>
        <w:numPr>
          <w:ilvl w:val="0"/>
          <w:numId w:val="31"/>
        </w:numPr>
        <w:ind w:leftChars="354" w:left="992" w:hangingChars="59" w:hanging="142"/>
      </w:pPr>
      <w:r>
        <w:t>The effective date for the new professorship rank concerning cases applying with a newly obtained degree, as stipulated above, shall be</w:t>
      </w:r>
      <w:r>
        <w:rPr>
          <w:rFonts w:hint="eastAsia"/>
        </w:rPr>
        <w:t xml:space="preserve"> </w:t>
      </w:r>
      <w:r>
        <w:t>the date the U</w:t>
      </w:r>
      <w:r w:rsidR="00486107">
        <w:t xml:space="preserve">niversity </w:t>
      </w:r>
      <w:r>
        <w:t>F</w:t>
      </w:r>
      <w:r w:rsidR="00486107">
        <w:t xml:space="preserve">aculty </w:t>
      </w:r>
      <w:r>
        <w:t>E</w:t>
      </w:r>
      <w:r w:rsidR="00486107">
        <w:t xml:space="preserve">valuation </w:t>
      </w:r>
      <w:r>
        <w:t>C</w:t>
      </w:r>
      <w:r w:rsidR="00486107">
        <w:t>ommittee</w:t>
      </w:r>
      <w:r>
        <w:t xml:space="preserve"> approves the application for promotion.</w:t>
      </w:r>
    </w:p>
    <w:p w:rsidR="005F147D" w:rsidRDefault="005F147D" w:rsidP="003567E7">
      <w:pPr>
        <w:pStyle w:val="ARTICLE"/>
        <w:spacing w:before="240"/>
        <w:ind w:left="567" w:hanging="207"/>
      </w:pPr>
      <w:r w:rsidRPr="005F147D">
        <w:t>Th</w:t>
      </w:r>
      <w:r>
        <w:t xml:space="preserve">e </w:t>
      </w:r>
      <w:r w:rsidR="003567E7">
        <w:t>R</w:t>
      </w:r>
      <w:r w:rsidRPr="005F147D">
        <w:t xml:space="preserve">egulations shall be implemented following approvals of the </w:t>
      </w:r>
      <w:r>
        <w:t>C</w:t>
      </w:r>
      <w:r w:rsidRPr="005F147D">
        <w:t>ollege</w:t>
      </w:r>
      <w:r>
        <w:t xml:space="preserve"> General Meeting</w:t>
      </w:r>
      <w:r w:rsidRPr="005F147D">
        <w:t xml:space="preserve"> and </w:t>
      </w:r>
      <w:r>
        <w:t>University Faculty Evaluation C</w:t>
      </w:r>
      <w:r w:rsidRPr="005F147D">
        <w:t xml:space="preserve">ommittee and the authorization of the </w:t>
      </w:r>
      <w:r w:rsidR="00A42418">
        <w:rPr>
          <w:rFonts w:ascii="新細明體" w:eastAsia="新細明體" w:hAnsi="新細明體" w:hint="eastAsia"/>
        </w:rPr>
        <w:t>P</w:t>
      </w:r>
      <w:r w:rsidRPr="005F147D">
        <w:t>resident. The same procedure shall be carried out when amendments are to be made.</w:t>
      </w:r>
    </w:p>
    <w:p w:rsidR="00485A65" w:rsidRDefault="00485A65" w:rsidP="00485A65">
      <w:pPr>
        <w:pStyle w:val="ARTICLE"/>
        <w:numPr>
          <w:ilvl w:val="0"/>
          <w:numId w:val="0"/>
        </w:numPr>
        <w:ind w:left="720" w:hanging="360"/>
      </w:pPr>
    </w:p>
    <w:p w:rsidR="00485A65" w:rsidRDefault="00485A65" w:rsidP="00485A65">
      <w:pPr>
        <w:pStyle w:val="ARTICLE"/>
        <w:numPr>
          <w:ilvl w:val="0"/>
          <w:numId w:val="0"/>
        </w:numPr>
        <w:ind w:left="720" w:hanging="360"/>
      </w:pPr>
    </w:p>
    <w:p w:rsidR="00485A65" w:rsidRDefault="00485A65" w:rsidP="00485A65">
      <w:pPr>
        <w:pStyle w:val="ARTICLE"/>
        <w:numPr>
          <w:ilvl w:val="0"/>
          <w:numId w:val="0"/>
        </w:numPr>
        <w:ind w:left="720" w:hanging="360"/>
      </w:pPr>
    </w:p>
    <w:p w:rsidR="00485A65" w:rsidRDefault="00485A65" w:rsidP="00485A65">
      <w:pPr>
        <w:pStyle w:val="ARTICLE"/>
        <w:numPr>
          <w:ilvl w:val="0"/>
          <w:numId w:val="0"/>
        </w:numPr>
        <w:ind w:left="720" w:hanging="360"/>
      </w:pPr>
    </w:p>
    <w:p w:rsidR="00485A65" w:rsidRDefault="00485A65" w:rsidP="00485A65">
      <w:pPr>
        <w:pStyle w:val="ARTICLE"/>
        <w:numPr>
          <w:ilvl w:val="0"/>
          <w:numId w:val="0"/>
        </w:numPr>
        <w:ind w:left="720" w:hanging="360"/>
        <w:rPr>
          <w:rFonts w:eastAsia="新細明體"/>
        </w:rPr>
      </w:pPr>
    </w:p>
    <w:p w:rsidR="00AD2620" w:rsidRDefault="00AD2620" w:rsidP="00485A65">
      <w:pPr>
        <w:pStyle w:val="ARTICLE"/>
        <w:numPr>
          <w:ilvl w:val="0"/>
          <w:numId w:val="0"/>
        </w:numPr>
        <w:ind w:left="720" w:hanging="360"/>
        <w:rPr>
          <w:rFonts w:eastAsia="新細明體"/>
        </w:rPr>
      </w:pPr>
    </w:p>
    <w:p w:rsidR="0086274A" w:rsidRDefault="0086274A" w:rsidP="00485A65">
      <w:pPr>
        <w:pStyle w:val="ARTICLE"/>
        <w:numPr>
          <w:ilvl w:val="0"/>
          <w:numId w:val="0"/>
        </w:numPr>
        <w:ind w:left="720" w:hanging="360"/>
        <w:rPr>
          <w:rFonts w:eastAsia="新細明體"/>
        </w:rPr>
      </w:pPr>
    </w:p>
    <w:p w:rsidR="00AD2620" w:rsidRDefault="00AD2620" w:rsidP="00485A65">
      <w:pPr>
        <w:pStyle w:val="ARTICLE"/>
        <w:numPr>
          <w:ilvl w:val="0"/>
          <w:numId w:val="0"/>
        </w:numPr>
        <w:ind w:left="720" w:hanging="360"/>
        <w:rPr>
          <w:rFonts w:eastAsia="新細明體"/>
        </w:rPr>
      </w:pPr>
    </w:p>
    <w:p w:rsidR="00AD2620" w:rsidRDefault="00AD2620" w:rsidP="00485A65">
      <w:pPr>
        <w:pStyle w:val="ARTICLE"/>
        <w:numPr>
          <w:ilvl w:val="0"/>
          <w:numId w:val="0"/>
        </w:numPr>
        <w:ind w:left="720" w:hanging="360"/>
        <w:rPr>
          <w:rFonts w:eastAsia="新細明體"/>
        </w:rPr>
      </w:pPr>
    </w:p>
    <w:p w:rsidR="00AD2620" w:rsidRDefault="00AD2620" w:rsidP="00485A65">
      <w:pPr>
        <w:pStyle w:val="ARTICLE"/>
        <w:numPr>
          <w:ilvl w:val="0"/>
          <w:numId w:val="0"/>
        </w:numPr>
        <w:ind w:left="720" w:hanging="360"/>
        <w:rPr>
          <w:rFonts w:eastAsia="新細明體"/>
        </w:rPr>
      </w:pPr>
    </w:p>
    <w:p w:rsidR="00593754" w:rsidRDefault="00593754" w:rsidP="00485A65">
      <w:pPr>
        <w:pStyle w:val="ARTICLE"/>
        <w:numPr>
          <w:ilvl w:val="0"/>
          <w:numId w:val="0"/>
        </w:numPr>
        <w:ind w:left="720" w:hanging="360"/>
        <w:rPr>
          <w:rFonts w:eastAsia="新細明體"/>
        </w:rPr>
      </w:pPr>
    </w:p>
    <w:p w:rsidR="00593754" w:rsidRDefault="00593754" w:rsidP="00485A65">
      <w:pPr>
        <w:pStyle w:val="ARTICLE"/>
        <w:numPr>
          <w:ilvl w:val="0"/>
          <w:numId w:val="0"/>
        </w:numPr>
        <w:ind w:left="720" w:hanging="360"/>
        <w:rPr>
          <w:rFonts w:eastAsia="新細明體"/>
        </w:rPr>
      </w:pPr>
    </w:p>
    <w:p w:rsidR="00593754" w:rsidRDefault="00593754" w:rsidP="00485A65">
      <w:pPr>
        <w:pStyle w:val="ARTICLE"/>
        <w:numPr>
          <w:ilvl w:val="0"/>
          <w:numId w:val="0"/>
        </w:numPr>
        <w:ind w:left="720" w:hanging="360"/>
        <w:rPr>
          <w:rFonts w:eastAsia="新細明體"/>
        </w:rPr>
      </w:pPr>
    </w:p>
    <w:p w:rsidR="003567E7" w:rsidRDefault="003567E7" w:rsidP="00485A65">
      <w:pPr>
        <w:pStyle w:val="ARTICLE"/>
        <w:numPr>
          <w:ilvl w:val="0"/>
          <w:numId w:val="0"/>
        </w:numPr>
        <w:ind w:left="720" w:hanging="360"/>
        <w:rPr>
          <w:rFonts w:eastAsia="新細明體"/>
        </w:rPr>
      </w:pPr>
    </w:p>
    <w:p w:rsidR="00593754" w:rsidRDefault="00593754" w:rsidP="00485A65">
      <w:pPr>
        <w:pStyle w:val="ARTICLE"/>
        <w:numPr>
          <w:ilvl w:val="0"/>
          <w:numId w:val="0"/>
        </w:numPr>
        <w:ind w:left="720" w:hanging="360"/>
        <w:rPr>
          <w:rFonts w:eastAsia="新細明體"/>
        </w:rPr>
      </w:pPr>
    </w:p>
    <w:p w:rsidR="00485A65" w:rsidRDefault="00485A65" w:rsidP="00485A65">
      <w:pPr>
        <w:pStyle w:val="ARTICLE"/>
        <w:numPr>
          <w:ilvl w:val="0"/>
          <w:numId w:val="0"/>
        </w:numPr>
        <w:ind w:left="720" w:hanging="360"/>
      </w:pPr>
    </w:p>
    <w:p w:rsidR="00485A65" w:rsidRPr="00593754" w:rsidRDefault="00593754" w:rsidP="00A42418">
      <w:pPr>
        <w:pStyle w:val="ARTICLE"/>
        <w:numPr>
          <w:ilvl w:val="0"/>
          <w:numId w:val="0"/>
        </w:numPr>
        <w:ind w:leftChars="59" w:left="142" w:rightChars="52" w:right="125"/>
        <w:jc w:val="center"/>
        <w:rPr>
          <w:color w:val="808080" w:themeColor="background1" w:themeShade="80"/>
        </w:rPr>
      </w:pPr>
      <w:r w:rsidRPr="00593754">
        <w:rPr>
          <w:rFonts w:eastAsia="新細明體"/>
          <w:color w:val="808080" w:themeColor="background1" w:themeShade="80"/>
        </w:rPr>
        <w:t xml:space="preserve">(The </w:t>
      </w:r>
      <w:r w:rsidR="00A42418">
        <w:rPr>
          <w:rFonts w:hint="eastAsia"/>
          <w:color w:val="808080" w:themeColor="background1" w:themeShade="80"/>
          <w:lang w:eastAsia="ja-JP"/>
        </w:rPr>
        <w:t>r</w:t>
      </w:r>
      <w:r w:rsidR="003567E7">
        <w:rPr>
          <w:rFonts w:eastAsia="新細明體"/>
          <w:color w:val="808080" w:themeColor="background1" w:themeShade="80"/>
        </w:rPr>
        <w:t>egulations</w:t>
      </w:r>
      <w:r w:rsidRPr="00593754">
        <w:rPr>
          <w:rFonts w:eastAsia="新細明體"/>
          <w:color w:val="808080" w:themeColor="background1" w:themeShade="80"/>
        </w:rPr>
        <w:t xml:space="preserve"> in English are translated from the original Chinese. In the event of any discrepancies between the two versions, the Chinese version prevails.)</w:t>
      </w:r>
    </w:p>
    <w:sectPr w:rsidR="00485A65" w:rsidRPr="00593754" w:rsidSect="00593754">
      <w:type w:val="continuous"/>
      <w:pgSz w:w="11920" w:h="16840"/>
      <w:pgMar w:top="1134" w:right="1077" w:bottom="1134" w:left="1077" w:header="720"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E40" w:rsidRDefault="00951E40" w:rsidP="00E26C5D">
      <w:r>
        <w:separator/>
      </w:r>
    </w:p>
  </w:endnote>
  <w:endnote w:type="continuationSeparator" w:id="0">
    <w:p w:rsidR="00951E40" w:rsidRDefault="00951E40" w:rsidP="00E2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E40" w:rsidRDefault="00951E40" w:rsidP="00E26C5D">
      <w:r>
        <w:separator/>
      </w:r>
    </w:p>
  </w:footnote>
  <w:footnote w:type="continuationSeparator" w:id="0">
    <w:p w:rsidR="00951E40" w:rsidRDefault="00951E40" w:rsidP="00E26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428E"/>
    <w:multiLevelType w:val="hybridMultilevel"/>
    <w:tmpl w:val="F20091C2"/>
    <w:lvl w:ilvl="0" w:tplc="0409001B">
      <w:start w:val="1"/>
      <w:numFmt w:val="lowerRoman"/>
      <w:lvlText w:val="%1."/>
      <w:lvlJc w:val="righ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15:restartNumberingAfterBreak="0">
    <w:nsid w:val="1D22508C"/>
    <w:multiLevelType w:val="hybridMultilevel"/>
    <w:tmpl w:val="B818E796"/>
    <w:lvl w:ilvl="0" w:tplc="81CE4606">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45C1E67"/>
    <w:multiLevelType w:val="hybridMultilevel"/>
    <w:tmpl w:val="30488FF8"/>
    <w:lvl w:ilvl="0" w:tplc="1BE813D4">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2D7348EB"/>
    <w:multiLevelType w:val="hybridMultilevel"/>
    <w:tmpl w:val="B1CC4F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647AFFF2">
      <w:start w:val="1"/>
      <w:numFmt w:val="decimal"/>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EF6415"/>
    <w:multiLevelType w:val="hybridMultilevel"/>
    <w:tmpl w:val="A846187A"/>
    <w:lvl w:ilvl="0" w:tplc="1BE813D4">
      <w:start w:val="1"/>
      <w:numFmt w:val="decimal"/>
      <w:lvlText w:val="%1."/>
      <w:lvlJc w:val="right"/>
      <w:pPr>
        <w:ind w:left="1178" w:hanging="480"/>
      </w:pPr>
      <w:rPr>
        <w:rFonts w:hint="eastAsia"/>
      </w:rPr>
    </w:lvl>
    <w:lvl w:ilvl="1" w:tplc="04090019">
      <w:start w:val="1"/>
      <w:numFmt w:val="ideographTraditional"/>
      <w:lvlText w:val="%2、"/>
      <w:lvlJc w:val="left"/>
      <w:pPr>
        <w:ind w:left="1658" w:hanging="480"/>
      </w:pPr>
    </w:lvl>
    <w:lvl w:ilvl="2" w:tplc="0409001B">
      <w:start w:val="1"/>
      <w:numFmt w:val="lowerRoman"/>
      <w:lvlText w:val="%3."/>
      <w:lvlJc w:val="right"/>
      <w:pPr>
        <w:ind w:left="2138" w:hanging="480"/>
      </w:pPr>
    </w:lvl>
    <w:lvl w:ilvl="3" w:tplc="0409000F">
      <w:start w:val="1"/>
      <w:numFmt w:val="decimal"/>
      <w:lvlText w:val="%4."/>
      <w:lvlJc w:val="left"/>
      <w:pPr>
        <w:ind w:left="2618" w:hanging="480"/>
      </w:pPr>
    </w:lvl>
    <w:lvl w:ilvl="4" w:tplc="04090019">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5" w15:restartNumberingAfterBreak="0">
    <w:nsid w:val="40581F53"/>
    <w:multiLevelType w:val="hybridMultilevel"/>
    <w:tmpl w:val="B99E5A40"/>
    <w:lvl w:ilvl="0" w:tplc="A0A090D4">
      <w:start w:val="1"/>
      <w:numFmt w:val="upperRoman"/>
      <w:lvlText w:val="%1."/>
      <w:lvlJc w:val="right"/>
      <w:pPr>
        <w:ind w:left="720" w:hanging="360"/>
      </w:pPr>
      <w:rPr>
        <w:i w:val="0"/>
      </w:rPr>
    </w:lvl>
    <w:lvl w:ilvl="1" w:tplc="0409001B">
      <w:start w:val="1"/>
      <w:numFmt w:val="lowerRoman"/>
      <w:lvlText w:val="%2."/>
      <w:lvlJc w:val="right"/>
      <w:pPr>
        <w:ind w:left="1440" w:hanging="360"/>
      </w:pPr>
      <w:rPr>
        <w:i w:val="0"/>
      </w:rPr>
    </w:lvl>
    <w:lvl w:ilvl="2" w:tplc="5C00F516">
      <w:start w:val="1"/>
      <w:numFmt w:val="decimal"/>
      <w:lvlText w:val="%3."/>
      <w:lvlJc w:val="left"/>
      <w:pPr>
        <w:ind w:left="2340" w:hanging="360"/>
      </w:pPr>
      <w:rPr>
        <w:i w:val="0"/>
      </w:rPr>
    </w:lvl>
    <w:lvl w:ilvl="3" w:tplc="A35A5882">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C6B10"/>
    <w:multiLevelType w:val="hybridMultilevel"/>
    <w:tmpl w:val="690E971A"/>
    <w:lvl w:ilvl="0" w:tplc="D3D8998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EB1325"/>
    <w:multiLevelType w:val="hybridMultilevel"/>
    <w:tmpl w:val="492A2B86"/>
    <w:lvl w:ilvl="0" w:tplc="81CE4606">
      <w:start w:val="1"/>
      <w:numFmt w:val="decimal"/>
      <w:lvlText w:val="(%1)"/>
      <w:lvlJc w:val="left"/>
      <w:pPr>
        <w:ind w:left="1614" w:hanging="480"/>
      </w:pPr>
      <w:rPr>
        <w:rFonts w:hint="default"/>
      </w:r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519C1EFA"/>
    <w:multiLevelType w:val="hybridMultilevel"/>
    <w:tmpl w:val="FEFEF92C"/>
    <w:lvl w:ilvl="0" w:tplc="A0A090D4">
      <w:start w:val="1"/>
      <w:numFmt w:val="upperRoman"/>
      <w:lvlText w:val="%1."/>
      <w:lvlJc w:val="right"/>
      <w:pPr>
        <w:ind w:left="720" w:hanging="360"/>
      </w:pPr>
      <w:rPr>
        <w:i w:val="0"/>
      </w:rPr>
    </w:lvl>
    <w:lvl w:ilvl="1" w:tplc="1BE813D4">
      <w:start w:val="1"/>
      <w:numFmt w:val="decimal"/>
      <w:lvlText w:val="%2."/>
      <w:lvlJc w:val="right"/>
      <w:pPr>
        <w:ind w:left="1440" w:hanging="360"/>
      </w:pPr>
      <w:rPr>
        <w:rFonts w:hint="eastAsia"/>
        <w:i w:val="0"/>
      </w:rPr>
    </w:lvl>
    <w:lvl w:ilvl="2" w:tplc="5C00F516">
      <w:start w:val="1"/>
      <w:numFmt w:val="decimal"/>
      <w:lvlText w:val="%3."/>
      <w:lvlJc w:val="left"/>
      <w:pPr>
        <w:ind w:left="2340" w:hanging="360"/>
      </w:pPr>
      <w:rPr>
        <w:i w:val="0"/>
      </w:rPr>
    </w:lvl>
    <w:lvl w:ilvl="3" w:tplc="A35A5882">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D442C"/>
    <w:multiLevelType w:val="hybridMultilevel"/>
    <w:tmpl w:val="492A2B86"/>
    <w:lvl w:ilvl="0" w:tplc="81CE4606">
      <w:start w:val="1"/>
      <w:numFmt w:val="decimal"/>
      <w:lvlText w:val="(%1)"/>
      <w:lvlJc w:val="left"/>
      <w:pPr>
        <w:ind w:left="1614" w:hanging="480"/>
      </w:pPr>
      <w:rPr>
        <w:rFonts w:hint="default"/>
      </w:r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63C70A75"/>
    <w:multiLevelType w:val="hybridMultilevel"/>
    <w:tmpl w:val="004CC3A4"/>
    <w:lvl w:ilvl="0" w:tplc="A0A090D4">
      <w:start w:val="1"/>
      <w:numFmt w:val="upperRoman"/>
      <w:pStyle w:val="ARTICLE"/>
      <w:lvlText w:val="%1."/>
      <w:lvlJc w:val="right"/>
      <w:pPr>
        <w:ind w:left="720" w:hanging="360"/>
      </w:pPr>
      <w:rPr>
        <w:i w:val="0"/>
      </w:rPr>
    </w:lvl>
    <w:lvl w:ilvl="1" w:tplc="01A21136">
      <w:start w:val="1"/>
      <w:numFmt w:val="upperLetter"/>
      <w:pStyle w:val="PARAGRAPH"/>
      <w:lvlText w:val="%2."/>
      <w:lvlJc w:val="left"/>
      <w:pPr>
        <w:ind w:left="1440" w:hanging="360"/>
      </w:pPr>
      <w:rPr>
        <w:i w:val="0"/>
      </w:rPr>
    </w:lvl>
    <w:lvl w:ilvl="2" w:tplc="5C00F516">
      <w:start w:val="1"/>
      <w:numFmt w:val="decimal"/>
      <w:pStyle w:val="ITEM"/>
      <w:lvlText w:val="%3."/>
      <w:lvlJc w:val="left"/>
      <w:pPr>
        <w:ind w:left="2340" w:hanging="360"/>
      </w:pPr>
      <w:rPr>
        <w:i w:val="0"/>
      </w:rPr>
    </w:lvl>
    <w:lvl w:ilvl="3" w:tplc="A35A5882">
      <w:start w:val="1"/>
      <w:numFmt w:val="lowerLetter"/>
      <w:pStyle w:val="SUBITEM"/>
      <w:lvlText w:val="%4)"/>
      <w:lvlJc w:val="left"/>
      <w:pPr>
        <w:ind w:left="2880" w:hanging="360"/>
      </w:pPr>
    </w:lvl>
    <w:lvl w:ilvl="4" w:tplc="EB8E3D78">
      <w:start w:val="1"/>
      <w:numFmt w:val="decimal"/>
      <w:lvlText w:val="(%5)"/>
      <w:lvlJc w:val="left"/>
      <w:pPr>
        <w:ind w:left="3625" w:hanging="385"/>
      </w:pPr>
      <w:rPr>
        <w:rFonts w:eastAsia="新細明體"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0"/>
  </w:num>
  <w:num w:numId="11">
    <w:abstractNumId w:val="3"/>
  </w:num>
  <w:num w:numId="12">
    <w:abstractNumId w:val="5"/>
  </w:num>
  <w:num w:numId="13">
    <w:abstractNumId w:val="6"/>
  </w:num>
  <w:num w:numId="14">
    <w:abstractNumId w:val="10"/>
  </w:num>
  <w:num w:numId="15">
    <w:abstractNumId w:val="8"/>
  </w:num>
  <w:num w:numId="16">
    <w:abstractNumId w:val="2"/>
  </w:num>
  <w:num w:numId="17">
    <w:abstractNumId w:val="10"/>
  </w:num>
  <w:num w:numId="18">
    <w:abstractNumId w:val="7"/>
  </w:num>
  <w:num w:numId="19">
    <w:abstractNumId w:val="10"/>
  </w:num>
  <w:num w:numId="20">
    <w:abstractNumId w:val="10"/>
  </w:num>
  <w:num w:numId="21">
    <w:abstractNumId w:val="10"/>
  </w:num>
  <w:num w:numId="22">
    <w:abstractNumId w:val="9"/>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
  </w:num>
  <w:num w:numId="30">
    <w:abstractNumId w:val="10"/>
  </w:num>
  <w:num w:numId="31">
    <w:abstractNumId w:val="4"/>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isplayBackgroundShape/>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4D"/>
    <w:rsid w:val="00054CD3"/>
    <w:rsid w:val="00095A39"/>
    <w:rsid w:val="000A3762"/>
    <w:rsid w:val="000D6FB4"/>
    <w:rsid w:val="000E4B2C"/>
    <w:rsid w:val="001102DA"/>
    <w:rsid w:val="00142A62"/>
    <w:rsid w:val="001826C3"/>
    <w:rsid w:val="001A25C8"/>
    <w:rsid w:val="001C778B"/>
    <w:rsid w:val="001D426C"/>
    <w:rsid w:val="001E0CFC"/>
    <w:rsid w:val="001F1547"/>
    <w:rsid w:val="00212320"/>
    <w:rsid w:val="00277851"/>
    <w:rsid w:val="0029018E"/>
    <w:rsid w:val="00293A40"/>
    <w:rsid w:val="002B5992"/>
    <w:rsid w:val="002D721A"/>
    <w:rsid w:val="003066B6"/>
    <w:rsid w:val="0031722A"/>
    <w:rsid w:val="00347A01"/>
    <w:rsid w:val="003567E7"/>
    <w:rsid w:val="003624F2"/>
    <w:rsid w:val="00363621"/>
    <w:rsid w:val="003C56E1"/>
    <w:rsid w:val="003D61BC"/>
    <w:rsid w:val="003F0942"/>
    <w:rsid w:val="003F3344"/>
    <w:rsid w:val="003F46F6"/>
    <w:rsid w:val="00405721"/>
    <w:rsid w:val="00415F83"/>
    <w:rsid w:val="00446BE1"/>
    <w:rsid w:val="0045586D"/>
    <w:rsid w:val="00462805"/>
    <w:rsid w:val="00485A65"/>
    <w:rsid w:val="00486107"/>
    <w:rsid w:val="004B17E5"/>
    <w:rsid w:val="004B3F0C"/>
    <w:rsid w:val="004C4711"/>
    <w:rsid w:val="004C714C"/>
    <w:rsid w:val="004D480E"/>
    <w:rsid w:val="004D749D"/>
    <w:rsid w:val="004E18F4"/>
    <w:rsid w:val="00505160"/>
    <w:rsid w:val="0052467B"/>
    <w:rsid w:val="005272D1"/>
    <w:rsid w:val="00565F2C"/>
    <w:rsid w:val="00570951"/>
    <w:rsid w:val="00593754"/>
    <w:rsid w:val="005B0515"/>
    <w:rsid w:val="005D219B"/>
    <w:rsid w:val="005F147D"/>
    <w:rsid w:val="00613646"/>
    <w:rsid w:val="00631A4D"/>
    <w:rsid w:val="0069616C"/>
    <w:rsid w:val="006C04C4"/>
    <w:rsid w:val="006E72FB"/>
    <w:rsid w:val="00761F89"/>
    <w:rsid w:val="00777675"/>
    <w:rsid w:val="007E7717"/>
    <w:rsid w:val="008569EF"/>
    <w:rsid w:val="0086274A"/>
    <w:rsid w:val="00862D47"/>
    <w:rsid w:val="008A1FD3"/>
    <w:rsid w:val="008E3D18"/>
    <w:rsid w:val="00951E40"/>
    <w:rsid w:val="00961527"/>
    <w:rsid w:val="009773D1"/>
    <w:rsid w:val="009C4DEF"/>
    <w:rsid w:val="00A006F6"/>
    <w:rsid w:val="00A42418"/>
    <w:rsid w:val="00A53D93"/>
    <w:rsid w:val="00A91800"/>
    <w:rsid w:val="00AC3786"/>
    <w:rsid w:val="00AD2620"/>
    <w:rsid w:val="00AF4D16"/>
    <w:rsid w:val="00B20372"/>
    <w:rsid w:val="00B4546A"/>
    <w:rsid w:val="00BE0C93"/>
    <w:rsid w:val="00C16064"/>
    <w:rsid w:val="00C353E2"/>
    <w:rsid w:val="00C96BF4"/>
    <w:rsid w:val="00CA56D5"/>
    <w:rsid w:val="00CB0EC8"/>
    <w:rsid w:val="00CB5D9E"/>
    <w:rsid w:val="00CC1F81"/>
    <w:rsid w:val="00CE251E"/>
    <w:rsid w:val="00CE5B42"/>
    <w:rsid w:val="00D22A36"/>
    <w:rsid w:val="00D47431"/>
    <w:rsid w:val="00DE1520"/>
    <w:rsid w:val="00DF1595"/>
    <w:rsid w:val="00DF29DD"/>
    <w:rsid w:val="00E26C5D"/>
    <w:rsid w:val="00E75DC1"/>
    <w:rsid w:val="00EA2758"/>
    <w:rsid w:val="00EA4D8F"/>
    <w:rsid w:val="00EC65DB"/>
    <w:rsid w:val="00ED6920"/>
    <w:rsid w:val="00F02247"/>
    <w:rsid w:val="00F04F6F"/>
    <w:rsid w:val="00F052EF"/>
    <w:rsid w:val="00F378E4"/>
    <w:rsid w:val="00F40EDF"/>
    <w:rsid w:val="00F42A04"/>
    <w:rsid w:val="00FF2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689ABC"/>
  <w15:docId w15:val="{37308F35-CD49-4D9B-9588-531213C2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F6"/>
    <w:pPr>
      <w:widowControl/>
      <w:spacing w:after="0" w:line="240" w:lineRule="auto"/>
    </w:pPr>
    <w:rPr>
      <w:rFonts w:eastAsiaTheme="minorEastAsia"/>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006F6"/>
    <w:pPr>
      <w:ind w:left="720"/>
      <w:contextualSpacing/>
    </w:pPr>
  </w:style>
  <w:style w:type="character" w:customStyle="1" w:styleId="a4">
    <w:name w:val="清單段落 字元"/>
    <w:basedOn w:val="a0"/>
    <w:link w:val="a3"/>
    <w:uiPriority w:val="34"/>
    <w:rsid w:val="00A006F6"/>
    <w:rPr>
      <w:rFonts w:eastAsiaTheme="minorEastAsia"/>
      <w:sz w:val="24"/>
      <w:szCs w:val="24"/>
      <w:lang w:eastAsia="zh-TW"/>
    </w:rPr>
  </w:style>
  <w:style w:type="paragraph" w:customStyle="1" w:styleId="ARTICLE">
    <w:name w:val="ARTICLE"/>
    <w:basedOn w:val="a3"/>
    <w:link w:val="ARTICLEChar"/>
    <w:qFormat/>
    <w:rsid w:val="00A006F6"/>
    <w:pPr>
      <w:numPr>
        <w:numId w:val="4"/>
      </w:numPr>
      <w:spacing w:afterLines="50" w:after="120"/>
      <w:contextualSpacing w:val="0"/>
      <w:jc w:val="both"/>
    </w:pPr>
    <w:rPr>
      <w:rFonts w:ascii="Times New Roman" w:hAnsi="Times New Roman" w:cs="Times New Roman"/>
    </w:rPr>
  </w:style>
  <w:style w:type="character" w:customStyle="1" w:styleId="ARTICLEChar">
    <w:name w:val="ARTICLE Char"/>
    <w:basedOn w:val="a4"/>
    <w:link w:val="ARTICLE"/>
    <w:rsid w:val="00A006F6"/>
    <w:rPr>
      <w:rFonts w:ascii="Times New Roman" w:eastAsiaTheme="minorEastAsia" w:hAnsi="Times New Roman" w:cs="Times New Roman"/>
      <w:sz w:val="24"/>
      <w:szCs w:val="24"/>
      <w:lang w:eastAsia="zh-TW"/>
    </w:rPr>
  </w:style>
  <w:style w:type="paragraph" w:customStyle="1" w:styleId="CREDENTIALS">
    <w:name w:val="CREDENTIALS"/>
    <w:basedOn w:val="a"/>
    <w:link w:val="CREDENTIALSChar"/>
    <w:qFormat/>
    <w:rsid w:val="00A006F6"/>
    <w:rPr>
      <w:rFonts w:ascii="Times New Roman" w:hAnsi="Times New Roman" w:cs="Times New Roman"/>
      <w:sz w:val="20"/>
      <w:szCs w:val="20"/>
    </w:rPr>
  </w:style>
  <w:style w:type="character" w:customStyle="1" w:styleId="CREDENTIALSChar">
    <w:name w:val="CREDENTIALS Char"/>
    <w:basedOn w:val="a0"/>
    <w:link w:val="CREDENTIALS"/>
    <w:rsid w:val="00A006F6"/>
    <w:rPr>
      <w:rFonts w:ascii="Times New Roman" w:eastAsiaTheme="minorEastAsia" w:hAnsi="Times New Roman" w:cs="Times New Roman"/>
      <w:sz w:val="20"/>
      <w:szCs w:val="20"/>
      <w:lang w:eastAsia="zh-TW"/>
    </w:rPr>
  </w:style>
  <w:style w:type="paragraph" w:styleId="a5">
    <w:name w:val="footer"/>
    <w:basedOn w:val="a"/>
    <w:link w:val="a6"/>
    <w:uiPriority w:val="99"/>
    <w:unhideWhenUsed/>
    <w:rsid w:val="00A006F6"/>
    <w:pPr>
      <w:tabs>
        <w:tab w:val="center" w:pos="4153"/>
        <w:tab w:val="right" w:pos="8306"/>
      </w:tabs>
      <w:snapToGrid w:val="0"/>
    </w:pPr>
    <w:rPr>
      <w:sz w:val="20"/>
      <w:szCs w:val="20"/>
    </w:rPr>
  </w:style>
  <w:style w:type="character" w:customStyle="1" w:styleId="a6">
    <w:name w:val="頁尾 字元"/>
    <w:basedOn w:val="a0"/>
    <w:link w:val="a5"/>
    <w:uiPriority w:val="99"/>
    <w:rsid w:val="00A006F6"/>
    <w:rPr>
      <w:rFonts w:eastAsiaTheme="minorEastAsia"/>
      <w:sz w:val="20"/>
      <w:szCs w:val="20"/>
      <w:lang w:eastAsia="zh-TW"/>
    </w:rPr>
  </w:style>
  <w:style w:type="paragraph" w:customStyle="1" w:styleId="HEAD">
    <w:name w:val="HEAD"/>
    <w:basedOn w:val="a"/>
    <w:link w:val="HEADChar"/>
    <w:qFormat/>
    <w:rsid w:val="00A006F6"/>
    <w:pPr>
      <w:jc w:val="center"/>
    </w:pPr>
    <w:rPr>
      <w:rFonts w:ascii="Times New Roman" w:hAnsi="Times New Roman" w:cs="Times New Roman"/>
      <w:b/>
      <w:sz w:val="28"/>
      <w:szCs w:val="28"/>
    </w:rPr>
  </w:style>
  <w:style w:type="character" w:customStyle="1" w:styleId="HEADChar">
    <w:name w:val="HEAD Char"/>
    <w:basedOn w:val="a0"/>
    <w:link w:val="HEAD"/>
    <w:rsid w:val="00A006F6"/>
    <w:rPr>
      <w:rFonts w:ascii="Times New Roman" w:eastAsiaTheme="minorEastAsia" w:hAnsi="Times New Roman" w:cs="Times New Roman"/>
      <w:b/>
      <w:sz w:val="28"/>
      <w:szCs w:val="28"/>
      <w:lang w:eastAsia="zh-TW"/>
    </w:rPr>
  </w:style>
  <w:style w:type="paragraph" w:styleId="a7">
    <w:name w:val="header"/>
    <w:basedOn w:val="a"/>
    <w:link w:val="a8"/>
    <w:uiPriority w:val="99"/>
    <w:unhideWhenUsed/>
    <w:rsid w:val="00A006F6"/>
    <w:pPr>
      <w:tabs>
        <w:tab w:val="center" w:pos="4153"/>
        <w:tab w:val="right" w:pos="8306"/>
      </w:tabs>
      <w:snapToGrid w:val="0"/>
    </w:pPr>
    <w:rPr>
      <w:sz w:val="20"/>
      <w:szCs w:val="20"/>
    </w:rPr>
  </w:style>
  <w:style w:type="character" w:customStyle="1" w:styleId="a8">
    <w:name w:val="頁首 字元"/>
    <w:basedOn w:val="a0"/>
    <w:link w:val="a7"/>
    <w:uiPriority w:val="99"/>
    <w:rsid w:val="00A006F6"/>
    <w:rPr>
      <w:rFonts w:eastAsiaTheme="minorEastAsia"/>
      <w:sz w:val="20"/>
      <w:szCs w:val="20"/>
      <w:lang w:eastAsia="zh-TW"/>
    </w:rPr>
  </w:style>
  <w:style w:type="paragraph" w:customStyle="1" w:styleId="HEAD-Running">
    <w:name w:val="HEAD-Running"/>
    <w:basedOn w:val="a"/>
    <w:link w:val="HEAD-RunningChar"/>
    <w:qFormat/>
    <w:rsid w:val="00A006F6"/>
    <w:pPr>
      <w:jc w:val="center"/>
    </w:pPr>
    <w:rPr>
      <w:rFonts w:ascii="Times New Roman" w:hAnsi="Times New Roman" w:cs="Times New Roman"/>
      <w:b/>
      <w:sz w:val="28"/>
      <w:szCs w:val="28"/>
    </w:rPr>
  </w:style>
  <w:style w:type="character" w:customStyle="1" w:styleId="HEAD-RunningChar">
    <w:name w:val="HEAD-Running Char"/>
    <w:basedOn w:val="a0"/>
    <w:link w:val="HEAD-Running"/>
    <w:rsid w:val="00A006F6"/>
    <w:rPr>
      <w:rFonts w:ascii="Times New Roman" w:eastAsiaTheme="minorEastAsia" w:hAnsi="Times New Roman" w:cs="Times New Roman"/>
      <w:b/>
      <w:sz w:val="28"/>
      <w:szCs w:val="28"/>
      <w:lang w:eastAsia="zh-TW"/>
    </w:rPr>
  </w:style>
  <w:style w:type="paragraph" w:customStyle="1" w:styleId="ITEM">
    <w:name w:val="ITEM"/>
    <w:basedOn w:val="a3"/>
    <w:link w:val="ITEMChar"/>
    <w:qFormat/>
    <w:rsid w:val="00A006F6"/>
    <w:pPr>
      <w:numPr>
        <w:ilvl w:val="2"/>
        <w:numId w:val="4"/>
      </w:numPr>
      <w:spacing w:afterLines="50" w:after="120"/>
      <w:contextualSpacing w:val="0"/>
      <w:jc w:val="both"/>
    </w:pPr>
    <w:rPr>
      <w:rFonts w:ascii="Times New Roman" w:hAnsi="Times New Roman" w:cs="Times New Roman"/>
    </w:rPr>
  </w:style>
  <w:style w:type="character" w:customStyle="1" w:styleId="ITEMChar">
    <w:name w:val="ITEM Char"/>
    <w:basedOn w:val="a4"/>
    <w:link w:val="ITEM"/>
    <w:rsid w:val="00A006F6"/>
    <w:rPr>
      <w:rFonts w:ascii="Times New Roman" w:eastAsiaTheme="minorEastAsia" w:hAnsi="Times New Roman" w:cs="Times New Roman"/>
      <w:sz w:val="24"/>
      <w:szCs w:val="24"/>
      <w:lang w:eastAsia="zh-TW"/>
    </w:rPr>
  </w:style>
  <w:style w:type="paragraph" w:customStyle="1" w:styleId="PARAGRAPH">
    <w:name w:val="PARAGRAPH"/>
    <w:basedOn w:val="a3"/>
    <w:link w:val="PARAGRAPHChar"/>
    <w:qFormat/>
    <w:rsid w:val="00A006F6"/>
    <w:pPr>
      <w:numPr>
        <w:ilvl w:val="1"/>
        <w:numId w:val="4"/>
      </w:numPr>
      <w:spacing w:afterLines="50" w:after="120"/>
      <w:contextualSpacing w:val="0"/>
      <w:jc w:val="both"/>
    </w:pPr>
    <w:rPr>
      <w:rFonts w:ascii="Times New Roman" w:hAnsi="Times New Roman" w:cs="Times New Roman"/>
    </w:rPr>
  </w:style>
  <w:style w:type="character" w:customStyle="1" w:styleId="PARAGRAPHChar">
    <w:name w:val="PARAGRAPH Char"/>
    <w:basedOn w:val="a4"/>
    <w:link w:val="PARAGRAPH"/>
    <w:rsid w:val="00A006F6"/>
    <w:rPr>
      <w:rFonts w:ascii="Times New Roman" w:eastAsiaTheme="minorEastAsia" w:hAnsi="Times New Roman" w:cs="Times New Roman"/>
      <w:sz w:val="24"/>
      <w:szCs w:val="24"/>
      <w:lang w:eastAsia="zh-TW"/>
    </w:rPr>
  </w:style>
  <w:style w:type="paragraph" w:customStyle="1" w:styleId="SUBITEM">
    <w:name w:val="SUBITEM"/>
    <w:basedOn w:val="a3"/>
    <w:link w:val="SUBITEMChar"/>
    <w:qFormat/>
    <w:rsid w:val="00A006F6"/>
    <w:pPr>
      <w:numPr>
        <w:ilvl w:val="3"/>
        <w:numId w:val="4"/>
      </w:numPr>
      <w:spacing w:afterLines="50" w:after="120"/>
      <w:contextualSpacing w:val="0"/>
      <w:jc w:val="both"/>
    </w:pPr>
    <w:rPr>
      <w:rFonts w:ascii="Times New Roman" w:hAnsi="Times New Roman" w:cs="Times New Roman"/>
    </w:rPr>
  </w:style>
  <w:style w:type="character" w:customStyle="1" w:styleId="SUBITEMChar">
    <w:name w:val="SUBITEM Char"/>
    <w:basedOn w:val="a4"/>
    <w:link w:val="SUBITEM"/>
    <w:rsid w:val="00A006F6"/>
    <w:rPr>
      <w:rFonts w:ascii="Times New Roman" w:eastAsiaTheme="minorEastAsia" w:hAnsi="Times New Roman" w:cs="Times New Roman"/>
      <w:sz w:val="24"/>
      <w:szCs w:val="24"/>
      <w:lang w:eastAsia="zh-TW"/>
    </w:rPr>
  </w:style>
  <w:style w:type="paragraph" w:customStyle="1" w:styleId="Default">
    <w:name w:val="Default"/>
    <w:rsid w:val="002778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3</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- 981125設置要點.doc</vt:lpstr>
    </vt:vector>
  </TitlesOfParts>
  <Company>Microsoft</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20190621_Regulations for Faculty Promotion Evaluation</dc:title>
  <dc:creator>user</dc:creator>
  <cp:lastModifiedBy>user</cp:lastModifiedBy>
  <cp:revision>31</cp:revision>
  <cp:lastPrinted>2022-03-08T07:06:00Z</cp:lastPrinted>
  <dcterms:created xsi:type="dcterms:W3CDTF">2018-05-09T01:33:00Z</dcterms:created>
  <dcterms:modified xsi:type="dcterms:W3CDTF">2022-04-28T02:35:00Z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2012-02-07T00:00:00Z</vt:filetime>
  </property>
  <property fmtid="{D5CDD505-2E9C-101B-9397-08002B2CF9AE}" pid="3" name="LastSaved">
    <vt:filetime>2015-07-22T00:00:00Z</vt:filetime>
  </property>
</Properties>
</file>